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27FCA" w14:textId="77777777" w:rsidR="001F2B26" w:rsidRDefault="00C873AC" w:rsidP="001F2B26">
      <w:pPr>
        <w:spacing w:after="0" w:line="240" w:lineRule="auto"/>
        <w:jc w:val="center"/>
        <w:rPr>
          <w:rFonts w:asciiTheme="majorHAnsi" w:hAnsiTheme="majorHAnsi"/>
          <w:b/>
          <w:sz w:val="28"/>
        </w:rPr>
      </w:pPr>
      <w:r w:rsidRPr="001F2B26">
        <w:rPr>
          <w:rFonts w:asciiTheme="majorHAnsi" w:hAnsiTheme="majorHAnsi"/>
          <w:b/>
          <w:sz w:val="28"/>
        </w:rPr>
        <w:t xml:space="preserve">The Human Rights Act </w:t>
      </w:r>
    </w:p>
    <w:p w14:paraId="0F586A6E" w14:textId="77777777" w:rsidR="00AA3E97" w:rsidRDefault="00C873AC" w:rsidP="00AA3E97">
      <w:pPr>
        <w:spacing w:after="0" w:line="240" w:lineRule="auto"/>
        <w:jc w:val="center"/>
        <w:rPr>
          <w:rFonts w:asciiTheme="majorHAnsi" w:hAnsiTheme="majorHAnsi"/>
          <w:b/>
          <w:sz w:val="28"/>
        </w:rPr>
      </w:pPr>
      <w:proofErr w:type="gramStart"/>
      <w:r w:rsidRPr="001F2B26">
        <w:rPr>
          <w:rFonts w:asciiTheme="majorHAnsi" w:hAnsiTheme="majorHAnsi"/>
          <w:b/>
          <w:sz w:val="28"/>
        </w:rPr>
        <w:t>and</w:t>
      </w:r>
      <w:proofErr w:type="gramEnd"/>
      <w:r w:rsidRPr="001F2B26">
        <w:rPr>
          <w:rFonts w:asciiTheme="majorHAnsi" w:hAnsiTheme="majorHAnsi"/>
          <w:b/>
          <w:sz w:val="28"/>
        </w:rPr>
        <w:t xml:space="preserve"> </w:t>
      </w:r>
      <w:r w:rsidR="001F2B26">
        <w:rPr>
          <w:rFonts w:asciiTheme="majorHAnsi" w:hAnsiTheme="majorHAnsi"/>
          <w:b/>
          <w:sz w:val="28"/>
        </w:rPr>
        <w:t>the Criminal Justice System</w:t>
      </w:r>
      <w:r w:rsidR="00AA3E97">
        <w:rPr>
          <w:rFonts w:asciiTheme="majorHAnsi" w:hAnsiTheme="majorHAnsi"/>
          <w:b/>
          <w:sz w:val="28"/>
        </w:rPr>
        <w:t>:</w:t>
      </w:r>
    </w:p>
    <w:p w14:paraId="518C5D35" w14:textId="328FC529" w:rsidR="001F2B26" w:rsidRPr="00AA3E97" w:rsidRDefault="00AA3E97" w:rsidP="00AA3E97">
      <w:pPr>
        <w:spacing w:after="0" w:line="240" w:lineRule="auto"/>
        <w:jc w:val="center"/>
        <w:rPr>
          <w:rFonts w:asciiTheme="majorHAnsi" w:hAnsiTheme="majorHAnsi"/>
          <w:b/>
          <w:sz w:val="28"/>
        </w:rPr>
      </w:pPr>
      <w:proofErr w:type="gramStart"/>
      <w:r w:rsidRPr="00AA3E97">
        <w:rPr>
          <w:rFonts w:asciiTheme="majorHAnsi" w:hAnsiTheme="majorHAnsi"/>
          <w:b/>
          <w:sz w:val="24"/>
        </w:rPr>
        <w:t>th</w:t>
      </w:r>
      <w:r w:rsidR="001F2B26" w:rsidRPr="00AA3E97">
        <w:rPr>
          <w:rFonts w:asciiTheme="majorHAnsi" w:hAnsiTheme="majorHAnsi"/>
          <w:b/>
          <w:sz w:val="24"/>
        </w:rPr>
        <w:t>e</w:t>
      </w:r>
      <w:proofErr w:type="gramEnd"/>
      <w:r w:rsidR="001F2B26" w:rsidRPr="00AA3E97">
        <w:rPr>
          <w:rFonts w:asciiTheme="majorHAnsi" w:hAnsiTheme="majorHAnsi"/>
          <w:b/>
          <w:sz w:val="24"/>
        </w:rPr>
        <w:t xml:space="preserve"> impact of the ECHR in criminal cases</w:t>
      </w:r>
    </w:p>
    <w:p w14:paraId="60129B20" w14:textId="77777777" w:rsidR="001F2B26" w:rsidRPr="001F2B26" w:rsidRDefault="001F2B26" w:rsidP="001F2B26">
      <w:pPr>
        <w:spacing w:after="0" w:line="240" w:lineRule="auto"/>
        <w:jc w:val="center"/>
        <w:rPr>
          <w:rFonts w:asciiTheme="majorHAnsi" w:hAnsiTheme="majorHAnsi"/>
          <w:b/>
          <w:sz w:val="28"/>
        </w:rPr>
      </w:pPr>
    </w:p>
    <w:p w14:paraId="11BD331C" w14:textId="225E6A7A" w:rsidR="003B18DF" w:rsidRDefault="003B18DF" w:rsidP="001F2B26">
      <w:pPr>
        <w:spacing w:after="0" w:line="240" w:lineRule="auto"/>
        <w:jc w:val="both"/>
        <w:rPr>
          <w:rFonts w:asciiTheme="majorHAnsi" w:hAnsiTheme="majorHAnsi"/>
          <w:b/>
        </w:rPr>
      </w:pPr>
      <w:r w:rsidRPr="003B18DF">
        <w:rPr>
          <w:rFonts w:asciiTheme="majorHAnsi" w:hAnsiTheme="majorHAnsi"/>
          <w:b/>
        </w:rPr>
        <w:t>Introduction</w:t>
      </w:r>
    </w:p>
    <w:p w14:paraId="1B2791BB" w14:textId="77777777" w:rsidR="003B18DF" w:rsidRPr="003B18DF" w:rsidRDefault="003B18DF" w:rsidP="001F2B26">
      <w:pPr>
        <w:spacing w:after="0" w:line="240" w:lineRule="auto"/>
        <w:jc w:val="both"/>
        <w:rPr>
          <w:rFonts w:asciiTheme="majorHAnsi" w:hAnsiTheme="majorHAnsi"/>
          <w:b/>
        </w:rPr>
      </w:pPr>
    </w:p>
    <w:p w14:paraId="0B4AAB93" w14:textId="757B1F1C" w:rsidR="00C873AC" w:rsidRDefault="00C873AC" w:rsidP="001F2B26">
      <w:pPr>
        <w:spacing w:after="0" w:line="240" w:lineRule="auto"/>
        <w:jc w:val="both"/>
        <w:rPr>
          <w:rFonts w:asciiTheme="majorHAnsi" w:hAnsiTheme="majorHAnsi"/>
        </w:rPr>
      </w:pPr>
      <w:r w:rsidRPr="001F2B26">
        <w:rPr>
          <w:rFonts w:asciiTheme="majorHAnsi" w:hAnsiTheme="majorHAnsi"/>
        </w:rPr>
        <w:t xml:space="preserve">Since coming into force in 2000, the Human Rights Act has widely shaped the development of the United Kingdom’s criminal justice system, not only in providing solutions for rights infringements, but also in shaping legislation. Upon enactment, the Act made it unlawful for any public body to act in a way that is incompatible with the European Convention on Human Rights, thereby reinforcing the fortitude of the Convention and its legal weight at a national level. </w:t>
      </w:r>
    </w:p>
    <w:p w14:paraId="0F656425" w14:textId="77777777" w:rsidR="001F2B26" w:rsidRDefault="001F2B26" w:rsidP="001F2B26">
      <w:pPr>
        <w:spacing w:after="0" w:line="240" w:lineRule="auto"/>
        <w:jc w:val="both"/>
        <w:rPr>
          <w:rFonts w:asciiTheme="majorHAnsi" w:hAnsiTheme="majorHAnsi"/>
        </w:rPr>
      </w:pPr>
    </w:p>
    <w:p w14:paraId="0A329615" w14:textId="0E324067" w:rsidR="003B18DF" w:rsidRDefault="003B18DF" w:rsidP="001F2B26">
      <w:pPr>
        <w:spacing w:after="0" w:line="240" w:lineRule="auto"/>
        <w:jc w:val="both"/>
        <w:rPr>
          <w:rFonts w:asciiTheme="majorHAnsi" w:hAnsiTheme="majorHAnsi"/>
        </w:rPr>
      </w:pPr>
      <w:r>
        <w:rPr>
          <w:rFonts w:asciiTheme="majorHAnsi" w:hAnsiTheme="majorHAnsi"/>
        </w:rPr>
        <w:t>This paper will consider the impact of the rights contained in the European Convention on Human Rights on the UK criminal justice system through challenges raised in the UK courts. Although article 6 ECHR has a significant role in the development of case law enhancing rights protection, other rights set out in the ECHR have also had a broader impact.</w:t>
      </w:r>
    </w:p>
    <w:p w14:paraId="29A3F158" w14:textId="77777777" w:rsidR="003B18DF" w:rsidRDefault="003B18DF" w:rsidP="001F2B26">
      <w:pPr>
        <w:spacing w:after="0" w:line="240" w:lineRule="auto"/>
        <w:jc w:val="both"/>
        <w:rPr>
          <w:rFonts w:asciiTheme="majorHAnsi" w:hAnsiTheme="majorHAnsi"/>
        </w:rPr>
      </w:pPr>
    </w:p>
    <w:p w14:paraId="3FBF935E" w14:textId="326C8A9A" w:rsidR="001F2B26" w:rsidRDefault="003B18DF" w:rsidP="001F2B26">
      <w:pPr>
        <w:spacing w:after="0" w:line="240" w:lineRule="auto"/>
        <w:jc w:val="both"/>
        <w:rPr>
          <w:rFonts w:asciiTheme="majorHAnsi" w:hAnsiTheme="majorHAnsi"/>
        </w:rPr>
      </w:pPr>
      <w:r>
        <w:rPr>
          <w:rFonts w:asciiTheme="majorHAnsi" w:hAnsiTheme="majorHAnsi"/>
        </w:rPr>
        <w:t>It is important to also note that many changes to the criminal justice system have occurred</w:t>
      </w:r>
      <w:r w:rsidRPr="003B18DF">
        <w:rPr>
          <w:rFonts w:asciiTheme="majorHAnsi" w:hAnsiTheme="majorHAnsi"/>
        </w:rPr>
        <w:t xml:space="preserve"> </w:t>
      </w:r>
      <w:r>
        <w:rPr>
          <w:rFonts w:asciiTheme="majorHAnsi" w:hAnsiTheme="majorHAnsi"/>
        </w:rPr>
        <w:t>without the need for challenges through the courts,</w:t>
      </w:r>
      <w:r>
        <w:rPr>
          <w:rFonts w:asciiTheme="majorHAnsi" w:hAnsiTheme="majorHAnsi"/>
        </w:rPr>
        <w:t xml:space="preserve"> through the interpretation of the requirement in article 6 ECHR for a fair and public hearing by an independent and impartial tribunal – the Parole Board, the Criminal Cases Review Commission</w:t>
      </w:r>
      <w:r w:rsidR="003C1267">
        <w:rPr>
          <w:rFonts w:asciiTheme="majorHAnsi" w:hAnsiTheme="majorHAnsi"/>
        </w:rPr>
        <w:t>, Criminal Injuries Compensation Board are examples of independent decision making bodies where decisions were previously made by the Secretary of State for Justice. Decisions continue to be made by the Minister concerning compensation for miscarriages of justice, which may be considered to be the exercise of power in violation of article 6 ECHR.</w:t>
      </w:r>
    </w:p>
    <w:p w14:paraId="44D60B8B" w14:textId="77777777" w:rsidR="001F2B26" w:rsidRPr="001F2B26" w:rsidRDefault="001F2B26" w:rsidP="001F2B26">
      <w:pPr>
        <w:spacing w:after="0" w:line="240" w:lineRule="auto"/>
        <w:jc w:val="both"/>
        <w:rPr>
          <w:rFonts w:asciiTheme="majorHAnsi" w:hAnsiTheme="majorHAnsi"/>
        </w:rPr>
      </w:pPr>
    </w:p>
    <w:p w14:paraId="2D1B6ED8" w14:textId="77777777" w:rsidR="003C1267" w:rsidRDefault="003C1267" w:rsidP="001F2B26">
      <w:pPr>
        <w:spacing w:after="0" w:line="240" w:lineRule="auto"/>
        <w:jc w:val="both"/>
        <w:rPr>
          <w:rFonts w:asciiTheme="majorHAnsi" w:hAnsiTheme="majorHAnsi"/>
        </w:rPr>
      </w:pPr>
      <w:r>
        <w:rPr>
          <w:rFonts w:asciiTheme="majorHAnsi" w:hAnsiTheme="majorHAnsi"/>
        </w:rPr>
        <w:t>Other a</w:t>
      </w:r>
      <w:r w:rsidR="00C873AC" w:rsidRPr="001F2B26">
        <w:rPr>
          <w:rFonts w:asciiTheme="majorHAnsi" w:hAnsiTheme="majorHAnsi"/>
        </w:rPr>
        <w:t xml:space="preserve">rticles </w:t>
      </w:r>
      <w:r>
        <w:rPr>
          <w:rFonts w:asciiTheme="majorHAnsi" w:hAnsiTheme="majorHAnsi"/>
        </w:rPr>
        <w:t xml:space="preserve">of the Convention </w:t>
      </w:r>
      <w:r w:rsidR="00C873AC" w:rsidRPr="001F2B26">
        <w:rPr>
          <w:rFonts w:asciiTheme="majorHAnsi" w:hAnsiTheme="majorHAnsi"/>
        </w:rPr>
        <w:t xml:space="preserve">that have played </w:t>
      </w:r>
      <w:r>
        <w:rPr>
          <w:rFonts w:asciiTheme="majorHAnsi" w:hAnsiTheme="majorHAnsi"/>
        </w:rPr>
        <w:t>a</w:t>
      </w:r>
      <w:r w:rsidR="00C873AC" w:rsidRPr="001F2B26">
        <w:rPr>
          <w:rFonts w:asciiTheme="majorHAnsi" w:hAnsiTheme="majorHAnsi"/>
        </w:rPr>
        <w:t xml:space="preserve"> role in developing </w:t>
      </w:r>
      <w:r>
        <w:rPr>
          <w:rFonts w:asciiTheme="majorHAnsi" w:hAnsiTheme="majorHAnsi"/>
        </w:rPr>
        <w:t xml:space="preserve">the </w:t>
      </w:r>
      <w:r w:rsidR="00C873AC" w:rsidRPr="001F2B26">
        <w:rPr>
          <w:rFonts w:asciiTheme="majorHAnsi" w:hAnsiTheme="majorHAnsi"/>
        </w:rPr>
        <w:t xml:space="preserve">criminal </w:t>
      </w:r>
      <w:r>
        <w:rPr>
          <w:rFonts w:asciiTheme="majorHAnsi" w:hAnsiTheme="majorHAnsi"/>
        </w:rPr>
        <w:t>justice system are:</w:t>
      </w:r>
    </w:p>
    <w:p w14:paraId="2AD5D1F7" w14:textId="77777777" w:rsidR="003C1267" w:rsidRDefault="00C873AC" w:rsidP="003C1267">
      <w:pPr>
        <w:pStyle w:val="ListParagraph"/>
        <w:numPr>
          <w:ilvl w:val="0"/>
          <w:numId w:val="8"/>
        </w:numPr>
        <w:spacing w:after="0" w:line="240" w:lineRule="auto"/>
        <w:jc w:val="both"/>
        <w:rPr>
          <w:rFonts w:asciiTheme="majorHAnsi" w:hAnsiTheme="majorHAnsi"/>
        </w:rPr>
      </w:pPr>
      <w:r w:rsidRPr="003C1267">
        <w:rPr>
          <w:rFonts w:asciiTheme="majorHAnsi" w:hAnsiTheme="majorHAnsi"/>
        </w:rPr>
        <w:t xml:space="preserve">Article 3, freedom from torture; </w:t>
      </w:r>
    </w:p>
    <w:p w14:paraId="4E505F51" w14:textId="77777777" w:rsidR="003C1267" w:rsidRDefault="00C873AC" w:rsidP="003C1267">
      <w:pPr>
        <w:pStyle w:val="ListParagraph"/>
        <w:numPr>
          <w:ilvl w:val="0"/>
          <w:numId w:val="8"/>
        </w:numPr>
        <w:spacing w:after="0" w:line="240" w:lineRule="auto"/>
        <w:jc w:val="both"/>
        <w:rPr>
          <w:rFonts w:asciiTheme="majorHAnsi" w:hAnsiTheme="majorHAnsi"/>
        </w:rPr>
      </w:pPr>
      <w:r w:rsidRPr="003C1267">
        <w:rPr>
          <w:rFonts w:asciiTheme="majorHAnsi" w:hAnsiTheme="majorHAnsi"/>
        </w:rPr>
        <w:t xml:space="preserve">Article 4, freedom from slavery or servitude; </w:t>
      </w:r>
    </w:p>
    <w:p w14:paraId="5BCB8FD3" w14:textId="789E5DE3" w:rsidR="003C1267" w:rsidRDefault="00C873AC" w:rsidP="003C1267">
      <w:pPr>
        <w:pStyle w:val="ListParagraph"/>
        <w:numPr>
          <w:ilvl w:val="0"/>
          <w:numId w:val="8"/>
        </w:numPr>
        <w:spacing w:after="0" w:line="240" w:lineRule="auto"/>
        <w:jc w:val="both"/>
        <w:rPr>
          <w:rFonts w:asciiTheme="majorHAnsi" w:hAnsiTheme="majorHAnsi"/>
        </w:rPr>
      </w:pPr>
      <w:r w:rsidRPr="003C1267">
        <w:rPr>
          <w:rFonts w:asciiTheme="majorHAnsi" w:hAnsiTheme="majorHAnsi"/>
        </w:rPr>
        <w:t>Article 5, ri</w:t>
      </w:r>
      <w:r w:rsidR="003C1267">
        <w:rPr>
          <w:rFonts w:asciiTheme="majorHAnsi" w:hAnsiTheme="majorHAnsi"/>
        </w:rPr>
        <w:t>ght to liberty and security;</w:t>
      </w:r>
    </w:p>
    <w:p w14:paraId="216947D8" w14:textId="6E84CC77" w:rsidR="003C1267" w:rsidRDefault="003C1267" w:rsidP="003C1267">
      <w:pPr>
        <w:pStyle w:val="ListParagraph"/>
        <w:numPr>
          <w:ilvl w:val="0"/>
          <w:numId w:val="8"/>
        </w:numPr>
        <w:spacing w:after="0" w:line="240" w:lineRule="auto"/>
        <w:jc w:val="both"/>
        <w:rPr>
          <w:rFonts w:asciiTheme="majorHAnsi" w:hAnsiTheme="majorHAnsi"/>
        </w:rPr>
      </w:pPr>
      <w:r>
        <w:rPr>
          <w:rFonts w:asciiTheme="majorHAnsi" w:hAnsiTheme="majorHAnsi"/>
        </w:rPr>
        <w:t>Article 7, no punishment without law; and,</w:t>
      </w:r>
    </w:p>
    <w:p w14:paraId="4AA4E81D" w14:textId="7766E002" w:rsidR="00C873AC" w:rsidRPr="003C1267" w:rsidRDefault="00C873AC" w:rsidP="003C1267">
      <w:pPr>
        <w:pStyle w:val="ListParagraph"/>
        <w:numPr>
          <w:ilvl w:val="0"/>
          <w:numId w:val="8"/>
        </w:numPr>
        <w:spacing w:after="0" w:line="240" w:lineRule="auto"/>
        <w:jc w:val="both"/>
        <w:rPr>
          <w:rFonts w:asciiTheme="majorHAnsi" w:hAnsiTheme="majorHAnsi"/>
        </w:rPr>
      </w:pPr>
      <w:r w:rsidRPr="003C1267">
        <w:rPr>
          <w:rFonts w:asciiTheme="majorHAnsi" w:hAnsiTheme="majorHAnsi"/>
        </w:rPr>
        <w:t>Article 8, the right to priva</w:t>
      </w:r>
      <w:r w:rsidR="00AA3E97">
        <w:rPr>
          <w:rFonts w:asciiTheme="majorHAnsi" w:hAnsiTheme="majorHAnsi"/>
        </w:rPr>
        <w:t>te</w:t>
      </w:r>
      <w:r w:rsidRPr="003C1267">
        <w:rPr>
          <w:rFonts w:asciiTheme="majorHAnsi" w:hAnsiTheme="majorHAnsi"/>
        </w:rPr>
        <w:t xml:space="preserve"> and family life. </w:t>
      </w:r>
    </w:p>
    <w:p w14:paraId="6285A311" w14:textId="77777777" w:rsidR="001F2B26" w:rsidRPr="001F2B26" w:rsidRDefault="001F2B26" w:rsidP="001F2B26">
      <w:pPr>
        <w:spacing w:after="0" w:line="240" w:lineRule="auto"/>
        <w:jc w:val="both"/>
        <w:rPr>
          <w:rFonts w:asciiTheme="majorHAnsi" w:hAnsiTheme="majorHAnsi"/>
        </w:rPr>
      </w:pPr>
    </w:p>
    <w:p w14:paraId="336985D7" w14:textId="170C200C" w:rsidR="00C873AC" w:rsidRDefault="003C1267" w:rsidP="001F2B26">
      <w:pPr>
        <w:spacing w:after="0" w:line="240" w:lineRule="auto"/>
        <w:jc w:val="both"/>
        <w:rPr>
          <w:rFonts w:asciiTheme="majorHAnsi" w:hAnsiTheme="majorHAnsi"/>
        </w:rPr>
      </w:pPr>
      <w:r>
        <w:rPr>
          <w:rFonts w:asciiTheme="majorHAnsi" w:hAnsiTheme="majorHAnsi"/>
        </w:rPr>
        <w:t>For example, a</w:t>
      </w:r>
      <w:r w:rsidR="00C873AC" w:rsidRPr="001F2B26">
        <w:rPr>
          <w:rFonts w:asciiTheme="majorHAnsi" w:hAnsiTheme="majorHAnsi"/>
        </w:rPr>
        <w:t xml:space="preserve">rticle 3 has not only </w:t>
      </w:r>
      <w:r w:rsidRPr="001F2B26">
        <w:rPr>
          <w:rFonts w:asciiTheme="majorHAnsi" w:hAnsiTheme="majorHAnsi"/>
        </w:rPr>
        <w:t>played</w:t>
      </w:r>
      <w:r w:rsidRPr="001F2B26">
        <w:rPr>
          <w:rFonts w:asciiTheme="majorHAnsi" w:hAnsiTheme="majorHAnsi"/>
        </w:rPr>
        <w:t xml:space="preserve"> </w:t>
      </w:r>
      <w:r w:rsidR="00C873AC" w:rsidRPr="001F2B26">
        <w:rPr>
          <w:rFonts w:asciiTheme="majorHAnsi" w:hAnsiTheme="majorHAnsi"/>
        </w:rPr>
        <w:t xml:space="preserve">a role in providing legal assurances to the victims of crimes, but also improving due process for those accused of crime. </w:t>
      </w:r>
      <w:r w:rsidR="0079409C" w:rsidRPr="001F2B26">
        <w:rPr>
          <w:rFonts w:asciiTheme="majorHAnsi" w:hAnsiTheme="majorHAnsi"/>
        </w:rPr>
        <w:t>I</w:t>
      </w:r>
      <w:r w:rsidR="00C873AC" w:rsidRPr="001F2B26">
        <w:rPr>
          <w:rFonts w:asciiTheme="majorHAnsi" w:hAnsiTheme="majorHAnsi"/>
        </w:rPr>
        <w:t xml:space="preserve">n </w:t>
      </w:r>
      <w:r w:rsidR="00C873AC" w:rsidRPr="001F2B26">
        <w:rPr>
          <w:rFonts w:asciiTheme="majorHAnsi" w:hAnsiTheme="majorHAnsi"/>
          <w:i/>
        </w:rPr>
        <w:t>Police v. DSD</w:t>
      </w:r>
      <w:r w:rsidR="00C873AC" w:rsidRPr="001F2B26">
        <w:rPr>
          <w:rFonts w:asciiTheme="majorHAnsi" w:hAnsiTheme="majorHAnsi"/>
        </w:rPr>
        <w:t xml:space="preserve">, the High Court found that a police failure to conduct </w:t>
      </w:r>
      <w:r>
        <w:rPr>
          <w:rFonts w:asciiTheme="majorHAnsi" w:hAnsiTheme="majorHAnsi"/>
        </w:rPr>
        <w:t xml:space="preserve">an </w:t>
      </w:r>
      <w:r w:rsidR="00C873AC" w:rsidRPr="001F2B26">
        <w:rPr>
          <w:rFonts w:asciiTheme="majorHAnsi" w:hAnsiTheme="majorHAnsi"/>
        </w:rPr>
        <w:t xml:space="preserve">investigation into allegations of rape had breached Article 3. On the other hand, in </w:t>
      </w:r>
      <w:r w:rsidR="00C873AC" w:rsidRPr="001F2B26">
        <w:rPr>
          <w:rFonts w:asciiTheme="majorHAnsi" w:hAnsiTheme="majorHAnsi"/>
          <w:i/>
        </w:rPr>
        <w:t>RB v. Secretary of State</w:t>
      </w:r>
      <w:r w:rsidR="00C873AC" w:rsidRPr="001F2B26">
        <w:rPr>
          <w:rFonts w:asciiTheme="majorHAnsi" w:hAnsiTheme="majorHAnsi"/>
        </w:rPr>
        <w:t xml:space="preserve">, the House of Lords </w:t>
      </w:r>
      <w:r>
        <w:rPr>
          <w:rFonts w:asciiTheme="majorHAnsi" w:hAnsiTheme="majorHAnsi"/>
        </w:rPr>
        <w:t>held</w:t>
      </w:r>
      <w:r w:rsidR="00C873AC" w:rsidRPr="001F2B26">
        <w:rPr>
          <w:rFonts w:asciiTheme="majorHAnsi" w:hAnsiTheme="majorHAnsi"/>
        </w:rPr>
        <w:t xml:space="preserve"> that individuals accused of terrorism coul</w:t>
      </w:r>
      <w:r>
        <w:rPr>
          <w:rFonts w:asciiTheme="majorHAnsi" w:hAnsiTheme="majorHAnsi"/>
        </w:rPr>
        <w:t>d not be deported when there were</w:t>
      </w:r>
      <w:r w:rsidR="00C873AC" w:rsidRPr="001F2B26">
        <w:rPr>
          <w:rFonts w:asciiTheme="majorHAnsi" w:hAnsiTheme="majorHAnsi"/>
        </w:rPr>
        <w:t xml:space="preserve"> substantial grounds to believe there was a risk that their rights would be breached. </w:t>
      </w:r>
    </w:p>
    <w:p w14:paraId="3BCDBFA2" w14:textId="77777777" w:rsidR="001F2B26" w:rsidRPr="001F2B26" w:rsidRDefault="001F2B26" w:rsidP="001F2B26">
      <w:pPr>
        <w:spacing w:after="0" w:line="240" w:lineRule="auto"/>
        <w:jc w:val="both"/>
        <w:rPr>
          <w:rFonts w:asciiTheme="majorHAnsi" w:hAnsiTheme="majorHAnsi"/>
        </w:rPr>
      </w:pPr>
    </w:p>
    <w:p w14:paraId="724052C2" w14:textId="702AFC12" w:rsidR="00C873AC" w:rsidRDefault="0079409C" w:rsidP="001F2B26">
      <w:pPr>
        <w:spacing w:after="0" w:line="240" w:lineRule="auto"/>
        <w:jc w:val="both"/>
        <w:rPr>
          <w:rFonts w:asciiTheme="majorHAnsi" w:hAnsiTheme="majorHAnsi"/>
        </w:rPr>
      </w:pPr>
      <w:r w:rsidRPr="001F2B26">
        <w:rPr>
          <w:rFonts w:asciiTheme="majorHAnsi" w:hAnsiTheme="majorHAnsi"/>
        </w:rPr>
        <w:t>Article</w:t>
      </w:r>
      <w:r w:rsidR="00C873AC" w:rsidRPr="001F2B26">
        <w:rPr>
          <w:rFonts w:asciiTheme="majorHAnsi" w:hAnsiTheme="majorHAnsi"/>
        </w:rPr>
        <w:t xml:space="preserve"> 4 has also played a significant role in protecting victims </w:t>
      </w:r>
      <w:r w:rsidR="003C1267">
        <w:rPr>
          <w:rFonts w:asciiTheme="majorHAnsi" w:hAnsiTheme="majorHAnsi"/>
        </w:rPr>
        <w:t>of slavery</w:t>
      </w:r>
      <w:r w:rsidR="00C873AC" w:rsidRPr="001F2B26">
        <w:rPr>
          <w:rFonts w:asciiTheme="majorHAnsi" w:hAnsiTheme="majorHAnsi"/>
        </w:rPr>
        <w:t xml:space="preserve">, and has introduced positive obligations on the UK to deter human trafficking. For example, in </w:t>
      </w:r>
      <w:r w:rsidR="00C873AC" w:rsidRPr="001F2B26">
        <w:rPr>
          <w:rFonts w:asciiTheme="majorHAnsi" w:hAnsiTheme="majorHAnsi"/>
          <w:i/>
        </w:rPr>
        <w:t>OOO v. Metropolitan Police</w:t>
      </w:r>
      <w:r w:rsidR="00C873AC" w:rsidRPr="001F2B26">
        <w:rPr>
          <w:rFonts w:asciiTheme="majorHAnsi" w:hAnsiTheme="majorHAnsi"/>
        </w:rPr>
        <w:t>, the High Court determined that the police had a duty to investigate alleged breaches of rights where there was any credible allegation</w:t>
      </w:r>
      <w:r w:rsidR="003C1267">
        <w:rPr>
          <w:rFonts w:asciiTheme="majorHAnsi" w:hAnsiTheme="majorHAnsi"/>
        </w:rPr>
        <w:t xml:space="preserve"> of trafficking</w:t>
      </w:r>
      <w:r w:rsidR="00C873AC" w:rsidRPr="001F2B26">
        <w:rPr>
          <w:rFonts w:asciiTheme="majorHAnsi" w:hAnsiTheme="majorHAnsi"/>
        </w:rPr>
        <w:t xml:space="preserve">. Additionally, </w:t>
      </w:r>
      <w:r w:rsidRPr="001F2B26">
        <w:rPr>
          <w:rFonts w:asciiTheme="majorHAnsi" w:hAnsiTheme="majorHAnsi"/>
        </w:rPr>
        <w:t>the Article</w:t>
      </w:r>
      <w:r w:rsidR="00C873AC" w:rsidRPr="001F2B26">
        <w:rPr>
          <w:rFonts w:asciiTheme="majorHAnsi" w:hAnsiTheme="majorHAnsi"/>
        </w:rPr>
        <w:t xml:space="preserve"> was </w:t>
      </w:r>
      <w:r w:rsidRPr="001F2B26">
        <w:rPr>
          <w:rFonts w:asciiTheme="majorHAnsi" w:hAnsiTheme="majorHAnsi"/>
        </w:rPr>
        <w:t>invoked</w:t>
      </w:r>
      <w:r w:rsidR="00C873AC" w:rsidRPr="001F2B26">
        <w:rPr>
          <w:rFonts w:asciiTheme="majorHAnsi" w:hAnsiTheme="majorHAnsi"/>
        </w:rPr>
        <w:t xml:space="preserve"> in </w:t>
      </w:r>
      <w:r w:rsidR="00C873AC" w:rsidRPr="001F2B26">
        <w:rPr>
          <w:rFonts w:asciiTheme="majorHAnsi" w:hAnsiTheme="majorHAnsi"/>
          <w:i/>
        </w:rPr>
        <w:t>R v. L</w:t>
      </w:r>
      <w:r w:rsidR="00C873AC" w:rsidRPr="001F2B26">
        <w:rPr>
          <w:rFonts w:asciiTheme="majorHAnsi" w:hAnsiTheme="majorHAnsi"/>
        </w:rPr>
        <w:t xml:space="preserve">, where the Court of Appeal imposed new guidance to </w:t>
      </w:r>
      <w:r w:rsidR="003C1267">
        <w:rPr>
          <w:rFonts w:asciiTheme="majorHAnsi" w:hAnsiTheme="majorHAnsi"/>
        </w:rPr>
        <w:t>criminal</w:t>
      </w:r>
      <w:r w:rsidR="00C873AC" w:rsidRPr="001F2B26">
        <w:rPr>
          <w:rFonts w:asciiTheme="majorHAnsi" w:hAnsiTheme="majorHAnsi"/>
        </w:rPr>
        <w:t xml:space="preserve"> courts in instances where those accused of committing crimes had themselves suffered forms of human trafficking.  </w:t>
      </w:r>
    </w:p>
    <w:p w14:paraId="5F3D7860" w14:textId="77777777" w:rsidR="001F2B26" w:rsidRPr="001F2B26" w:rsidRDefault="001F2B26" w:rsidP="001F2B26">
      <w:pPr>
        <w:spacing w:after="0" w:line="240" w:lineRule="auto"/>
        <w:jc w:val="both"/>
        <w:rPr>
          <w:rFonts w:asciiTheme="majorHAnsi" w:hAnsiTheme="majorHAnsi"/>
        </w:rPr>
      </w:pPr>
    </w:p>
    <w:p w14:paraId="28B3CB86" w14:textId="372A3619" w:rsidR="00C873AC" w:rsidRDefault="003C1267" w:rsidP="001F2B26">
      <w:pPr>
        <w:spacing w:after="0" w:line="240" w:lineRule="auto"/>
        <w:jc w:val="both"/>
        <w:rPr>
          <w:rFonts w:asciiTheme="majorHAnsi" w:hAnsiTheme="majorHAnsi"/>
        </w:rPr>
      </w:pPr>
      <w:r>
        <w:rPr>
          <w:rFonts w:asciiTheme="majorHAnsi" w:hAnsiTheme="majorHAnsi"/>
        </w:rPr>
        <w:t>Article 5</w:t>
      </w:r>
      <w:r w:rsidR="00C873AC" w:rsidRPr="001F2B26">
        <w:rPr>
          <w:rFonts w:asciiTheme="majorHAnsi" w:hAnsiTheme="majorHAnsi"/>
        </w:rPr>
        <w:t xml:space="preserve"> has </w:t>
      </w:r>
      <w:r>
        <w:rPr>
          <w:rFonts w:asciiTheme="majorHAnsi" w:hAnsiTheme="majorHAnsi"/>
        </w:rPr>
        <w:t>been engaged in an array</w:t>
      </w:r>
      <w:r w:rsidR="0079409C" w:rsidRPr="001F2B26">
        <w:rPr>
          <w:rFonts w:asciiTheme="majorHAnsi" w:hAnsiTheme="majorHAnsi"/>
        </w:rPr>
        <w:t xml:space="preserve"> of </w:t>
      </w:r>
      <w:r>
        <w:rPr>
          <w:rFonts w:asciiTheme="majorHAnsi" w:hAnsiTheme="majorHAnsi"/>
        </w:rPr>
        <w:t>challenges</w:t>
      </w:r>
      <w:r w:rsidR="00C873AC" w:rsidRPr="001F2B26">
        <w:rPr>
          <w:rFonts w:asciiTheme="majorHAnsi" w:hAnsiTheme="majorHAnsi"/>
        </w:rPr>
        <w:t xml:space="preserve"> ranging from terrorism charges, hospitalisation</w:t>
      </w:r>
      <w:r w:rsidR="0079409C" w:rsidRPr="001F2B26">
        <w:rPr>
          <w:rFonts w:asciiTheme="majorHAnsi" w:hAnsiTheme="majorHAnsi"/>
        </w:rPr>
        <w:t xml:space="preserve"> and detention</w:t>
      </w:r>
      <w:r>
        <w:rPr>
          <w:rFonts w:asciiTheme="majorHAnsi" w:hAnsiTheme="majorHAnsi"/>
        </w:rPr>
        <w:t xml:space="preserve"> to the more obvious period of</w:t>
      </w:r>
      <w:r w:rsidR="00C873AC" w:rsidRPr="001F2B26">
        <w:rPr>
          <w:rFonts w:asciiTheme="majorHAnsi" w:hAnsiTheme="majorHAnsi"/>
        </w:rPr>
        <w:t xml:space="preserve"> imprisonment. For example, Article </w:t>
      </w:r>
      <w:r w:rsidR="00C873AC" w:rsidRPr="001F2B26">
        <w:rPr>
          <w:rFonts w:asciiTheme="majorHAnsi" w:hAnsiTheme="majorHAnsi"/>
        </w:rPr>
        <w:lastRenderedPageBreak/>
        <w:t xml:space="preserve">5 </w:t>
      </w:r>
      <w:proofErr w:type="gramStart"/>
      <w:r w:rsidR="00C873AC" w:rsidRPr="001F2B26">
        <w:rPr>
          <w:rFonts w:asciiTheme="majorHAnsi" w:hAnsiTheme="majorHAnsi"/>
        </w:rPr>
        <w:t>was</w:t>
      </w:r>
      <w:proofErr w:type="gramEnd"/>
      <w:r w:rsidR="00C873AC" w:rsidRPr="001F2B26">
        <w:rPr>
          <w:rFonts w:asciiTheme="majorHAnsi" w:hAnsiTheme="majorHAnsi"/>
        </w:rPr>
        <w:t xml:space="preserve"> invoked on the British military in the context of its detention of a UK national suspected of terrorism, in </w:t>
      </w:r>
      <w:r w:rsidR="00C873AC" w:rsidRPr="001F2B26">
        <w:rPr>
          <w:rFonts w:asciiTheme="majorHAnsi" w:hAnsiTheme="majorHAnsi"/>
          <w:i/>
        </w:rPr>
        <w:t xml:space="preserve">A &amp; </w:t>
      </w:r>
      <w:proofErr w:type="spellStart"/>
      <w:r w:rsidR="00C873AC" w:rsidRPr="001F2B26">
        <w:rPr>
          <w:rFonts w:asciiTheme="majorHAnsi" w:hAnsiTheme="majorHAnsi"/>
          <w:i/>
        </w:rPr>
        <w:t>Ors</w:t>
      </w:r>
      <w:proofErr w:type="spellEnd"/>
      <w:r w:rsidR="00C873AC" w:rsidRPr="001F2B26">
        <w:rPr>
          <w:rFonts w:asciiTheme="majorHAnsi" w:hAnsiTheme="majorHAnsi"/>
          <w:i/>
        </w:rPr>
        <w:t xml:space="preserve"> v. United Kingdom</w:t>
      </w:r>
      <w:r w:rsidR="00C873AC" w:rsidRPr="001F2B26">
        <w:rPr>
          <w:rFonts w:asciiTheme="majorHAnsi" w:hAnsiTheme="majorHAnsi"/>
        </w:rPr>
        <w:t xml:space="preserve">. </w:t>
      </w:r>
    </w:p>
    <w:p w14:paraId="543FE280" w14:textId="77777777" w:rsidR="001F2B26" w:rsidRPr="001F2B26" w:rsidRDefault="001F2B26" w:rsidP="001F2B26">
      <w:pPr>
        <w:spacing w:after="0" w:line="240" w:lineRule="auto"/>
        <w:jc w:val="both"/>
        <w:rPr>
          <w:rFonts w:asciiTheme="majorHAnsi" w:hAnsiTheme="majorHAnsi"/>
        </w:rPr>
      </w:pPr>
    </w:p>
    <w:p w14:paraId="14938EA7" w14:textId="4C0FE6FD" w:rsidR="00C873AC" w:rsidRDefault="00C873AC" w:rsidP="001F2B26">
      <w:pPr>
        <w:spacing w:after="0" w:line="240" w:lineRule="auto"/>
        <w:jc w:val="both"/>
        <w:rPr>
          <w:rFonts w:asciiTheme="majorHAnsi" w:hAnsiTheme="majorHAnsi"/>
        </w:rPr>
      </w:pPr>
      <w:r w:rsidRPr="001F2B26">
        <w:rPr>
          <w:rFonts w:asciiTheme="majorHAnsi" w:hAnsiTheme="majorHAnsi"/>
        </w:rPr>
        <w:t>Finally, the right to respect for private</w:t>
      </w:r>
      <w:r w:rsidR="00AA3E97">
        <w:rPr>
          <w:rFonts w:asciiTheme="majorHAnsi" w:hAnsiTheme="majorHAnsi"/>
        </w:rPr>
        <w:t xml:space="preserve"> and family life, preserved in a</w:t>
      </w:r>
      <w:r w:rsidRPr="001F2B26">
        <w:rPr>
          <w:rFonts w:asciiTheme="majorHAnsi" w:hAnsiTheme="majorHAnsi"/>
        </w:rPr>
        <w:t>rticle 8, has been used extensively and to date has succeeded in assuring UK nationals that public bodies cannot exploit the personal lives</w:t>
      </w:r>
      <w:r w:rsidR="00AA3E97">
        <w:rPr>
          <w:rFonts w:asciiTheme="majorHAnsi" w:hAnsiTheme="majorHAnsi"/>
        </w:rPr>
        <w:t xml:space="preserve"> of the public</w:t>
      </w:r>
      <w:r w:rsidRPr="001F2B26">
        <w:rPr>
          <w:rFonts w:asciiTheme="majorHAnsi" w:hAnsiTheme="majorHAnsi"/>
        </w:rPr>
        <w:t xml:space="preserve">. Most recently, in </w:t>
      </w:r>
      <w:r w:rsidRPr="001F2B26">
        <w:rPr>
          <w:rFonts w:asciiTheme="majorHAnsi" w:hAnsiTheme="majorHAnsi"/>
          <w:i/>
        </w:rPr>
        <w:t>R v. Commissioner of Police of the Metropolis</w:t>
      </w:r>
      <w:r w:rsidRPr="001F2B26">
        <w:rPr>
          <w:rFonts w:asciiTheme="majorHAnsi" w:hAnsiTheme="majorHAnsi"/>
        </w:rPr>
        <w:t>, the Supreme Court found that the police’s systematic c</w:t>
      </w:r>
      <w:r w:rsidR="00AA3E97">
        <w:rPr>
          <w:rFonts w:asciiTheme="majorHAnsi" w:hAnsiTheme="majorHAnsi"/>
        </w:rPr>
        <w:t xml:space="preserve">ollection and retention of previous convictions </w:t>
      </w:r>
      <w:r w:rsidRPr="001F2B26">
        <w:rPr>
          <w:rFonts w:asciiTheme="majorHAnsi" w:hAnsiTheme="majorHAnsi"/>
        </w:rPr>
        <w:t xml:space="preserve">must be weighed by a principle of proportionality so that the rights of those previously convicted </w:t>
      </w:r>
      <w:r w:rsidR="00AA3E97">
        <w:rPr>
          <w:rFonts w:asciiTheme="majorHAnsi" w:hAnsiTheme="majorHAnsi"/>
        </w:rPr>
        <w:t xml:space="preserve">are not </w:t>
      </w:r>
      <w:r w:rsidRPr="001F2B26">
        <w:rPr>
          <w:rFonts w:asciiTheme="majorHAnsi" w:hAnsiTheme="majorHAnsi"/>
        </w:rPr>
        <w:t xml:space="preserve">violated. </w:t>
      </w:r>
    </w:p>
    <w:p w14:paraId="31E12A5C" w14:textId="77777777" w:rsidR="001F2B26" w:rsidRPr="001F2B26" w:rsidRDefault="001F2B26" w:rsidP="001F2B26">
      <w:pPr>
        <w:spacing w:after="0" w:line="240" w:lineRule="auto"/>
        <w:jc w:val="both"/>
        <w:rPr>
          <w:rFonts w:asciiTheme="majorHAnsi" w:hAnsiTheme="majorHAnsi"/>
        </w:rPr>
      </w:pPr>
    </w:p>
    <w:p w14:paraId="035E3E7A" w14:textId="1D9E0444" w:rsidR="00C873AC" w:rsidRDefault="00C873AC" w:rsidP="001F2B26">
      <w:pPr>
        <w:spacing w:after="0" w:line="240" w:lineRule="auto"/>
        <w:jc w:val="both"/>
        <w:rPr>
          <w:rFonts w:asciiTheme="majorHAnsi" w:hAnsiTheme="majorHAnsi"/>
        </w:rPr>
      </w:pPr>
      <w:r w:rsidRPr="001F2B26">
        <w:rPr>
          <w:rFonts w:asciiTheme="majorHAnsi" w:hAnsiTheme="majorHAnsi"/>
        </w:rPr>
        <w:t xml:space="preserve">Below is a list of </w:t>
      </w:r>
      <w:r w:rsidR="00AA3E97">
        <w:rPr>
          <w:rFonts w:asciiTheme="majorHAnsi" w:hAnsiTheme="majorHAnsi"/>
        </w:rPr>
        <w:t xml:space="preserve">example </w:t>
      </w:r>
      <w:r w:rsidRPr="001F2B26">
        <w:rPr>
          <w:rFonts w:asciiTheme="majorHAnsi" w:hAnsiTheme="majorHAnsi"/>
        </w:rPr>
        <w:t>cases</w:t>
      </w:r>
      <w:r w:rsidR="00AA3E97">
        <w:rPr>
          <w:rFonts w:asciiTheme="majorHAnsi" w:hAnsiTheme="majorHAnsi"/>
        </w:rPr>
        <w:t>, separated by article that chart the range of cases which have impacted upon the criminal justice system over the period since the Human Rights Act came into force</w:t>
      </w:r>
      <w:r w:rsidR="0079409C" w:rsidRPr="001F2B26">
        <w:rPr>
          <w:rFonts w:asciiTheme="majorHAnsi" w:hAnsiTheme="majorHAnsi"/>
        </w:rPr>
        <w:t>.</w:t>
      </w:r>
      <w:r w:rsidRPr="001F2B26">
        <w:rPr>
          <w:rFonts w:asciiTheme="majorHAnsi" w:hAnsiTheme="majorHAnsi"/>
        </w:rPr>
        <w:t xml:space="preserve"> </w:t>
      </w:r>
      <w:r w:rsidR="00AA3E97">
        <w:rPr>
          <w:rFonts w:asciiTheme="majorHAnsi" w:hAnsiTheme="majorHAnsi"/>
        </w:rPr>
        <w:t xml:space="preserve">These demonstrate the broad range of challenges brought to enhance victim and suspect rights during and after criminal proceedings. It will also be apparent that, despite the opportunity to raise human rights claims directly in UK courts </w:t>
      </w:r>
    </w:p>
    <w:p w14:paraId="2622C771" w14:textId="77777777" w:rsidR="001F2B26" w:rsidRPr="001F2B26" w:rsidRDefault="001F2B26" w:rsidP="001F2B26">
      <w:pPr>
        <w:spacing w:after="0" w:line="240" w:lineRule="auto"/>
        <w:jc w:val="both"/>
        <w:rPr>
          <w:rFonts w:asciiTheme="majorHAnsi" w:hAnsiTheme="majorHAnsi"/>
        </w:rPr>
      </w:pPr>
    </w:p>
    <w:p w14:paraId="171EB90D" w14:textId="61A4EACA" w:rsidR="00E23FCB" w:rsidRPr="00E23FCB" w:rsidRDefault="006265B0" w:rsidP="001F2B26">
      <w:pPr>
        <w:spacing w:after="0" w:line="240" w:lineRule="auto"/>
        <w:jc w:val="both"/>
        <w:rPr>
          <w:rFonts w:asciiTheme="majorHAnsi" w:hAnsiTheme="majorHAnsi"/>
          <w:b/>
        </w:rPr>
      </w:pPr>
      <w:r w:rsidRPr="00E23FCB">
        <w:rPr>
          <w:rFonts w:asciiTheme="majorHAnsi" w:hAnsiTheme="majorHAnsi"/>
          <w:b/>
        </w:rPr>
        <w:t>Article 2</w:t>
      </w:r>
      <w:r w:rsidR="0043558C">
        <w:rPr>
          <w:rFonts w:asciiTheme="majorHAnsi" w:hAnsiTheme="majorHAnsi"/>
          <w:b/>
        </w:rPr>
        <w:t xml:space="preserve"> – right to life</w:t>
      </w:r>
    </w:p>
    <w:p w14:paraId="7BB3032F" w14:textId="77777777" w:rsidR="00E23FCB" w:rsidRDefault="00E23FCB" w:rsidP="001F2B26">
      <w:pPr>
        <w:spacing w:after="0" w:line="240" w:lineRule="auto"/>
        <w:jc w:val="both"/>
        <w:rPr>
          <w:rFonts w:asciiTheme="majorHAnsi" w:hAnsiTheme="majorHAnsi"/>
          <w:b/>
        </w:rPr>
      </w:pPr>
    </w:p>
    <w:p w14:paraId="5A1E8166" w14:textId="23FBB545" w:rsidR="001F12E8" w:rsidRDefault="001F12E8" w:rsidP="0043558C">
      <w:pPr>
        <w:spacing w:after="0" w:line="240" w:lineRule="auto"/>
        <w:jc w:val="both"/>
        <w:rPr>
          <w:rFonts w:asciiTheme="majorHAnsi" w:hAnsiTheme="majorHAnsi"/>
        </w:rPr>
      </w:pPr>
      <w:r w:rsidRPr="0043558C">
        <w:rPr>
          <w:rFonts w:asciiTheme="majorHAnsi" w:hAnsiTheme="majorHAnsi"/>
        </w:rPr>
        <w:t>Cases which</w:t>
      </w:r>
      <w:r w:rsidR="0043558C">
        <w:rPr>
          <w:rFonts w:asciiTheme="majorHAnsi" w:hAnsiTheme="majorHAnsi"/>
        </w:rPr>
        <w:t xml:space="preserve"> have</w:t>
      </w:r>
      <w:r w:rsidRPr="0043558C">
        <w:rPr>
          <w:rFonts w:asciiTheme="majorHAnsi" w:hAnsiTheme="majorHAnsi"/>
        </w:rPr>
        <w:t xml:space="preserve"> improved victims</w:t>
      </w:r>
      <w:r w:rsidR="0043558C">
        <w:rPr>
          <w:rFonts w:asciiTheme="majorHAnsi" w:hAnsiTheme="majorHAnsi"/>
        </w:rPr>
        <w:t>’</w:t>
      </w:r>
      <w:r w:rsidRPr="0043558C">
        <w:rPr>
          <w:rFonts w:asciiTheme="majorHAnsi" w:hAnsiTheme="majorHAnsi"/>
        </w:rPr>
        <w:t xml:space="preserve"> </w:t>
      </w:r>
      <w:r w:rsidR="0043558C">
        <w:rPr>
          <w:rFonts w:asciiTheme="majorHAnsi" w:hAnsiTheme="majorHAnsi"/>
        </w:rPr>
        <w:t>rights</w:t>
      </w:r>
      <w:r w:rsidRPr="0043558C">
        <w:rPr>
          <w:rFonts w:asciiTheme="majorHAnsi" w:hAnsiTheme="majorHAnsi"/>
        </w:rPr>
        <w:t xml:space="preserve">: </w:t>
      </w:r>
    </w:p>
    <w:p w14:paraId="001C104A" w14:textId="77777777" w:rsidR="0043558C" w:rsidRPr="0043558C" w:rsidRDefault="0043558C" w:rsidP="0043558C">
      <w:pPr>
        <w:spacing w:after="0" w:line="240" w:lineRule="auto"/>
        <w:jc w:val="both"/>
        <w:rPr>
          <w:rFonts w:asciiTheme="majorHAnsi" w:hAnsiTheme="majorHAnsi"/>
        </w:rPr>
      </w:pPr>
    </w:p>
    <w:p w14:paraId="2AD42123" w14:textId="2D8BD946" w:rsidR="001819C8" w:rsidRPr="007974D6" w:rsidRDefault="001819C8" w:rsidP="007974D6">
      <w:pPr>
        <w:pStyle w:val="ListParagraph"/>
        <w:numPr>
          <w:ilvl w:val="0"/>
          <w:numId w:val="12"/>
        </w:numPr>
        <w:spacing w:after="0" w:line="240" w:lineRule="auto"/>
        <w:jc w:val="both"/>
        <w:rPr>
          <w:rFonts w:asciiTheme="majorHAnsi" w:hAnsiTheme="majorHAnsi"/>
        </w:rPr>
      </w:pPr>
      <w:r w:rsidRPr="007974D6">
        <w:rPr>
          <w:rFonts w:asciiTheme="majorHAnsi" w:hAnsiTheme="majorHAnsi"/>
          <w:u w:val="single"/>
        </w:rPr>
        <w:t>2013</w:t>
      </w:r>
      <w:r w:rsidRPr="007974D6">
        <w:rPr>
          <w:rFonts w:asciiTheme="majorHAnsi" w:hAnsiTheme="majorHAnsi"/>
        </w:rPr>
        <w:t xml:space="preserve">: </w:t>
      </w:r>
      <w:r w:rsidRPr="007974D6">
        <w:rPr>
          <w:rFonts w:asciiTheme="majorHAnsi" w:hAnsiTheme="majorHAnsi"/>
          <w:b/>
          <w:i/>
        </w:rPr>
        <w:t>McCaughey v. United Kingdom (43098/09)</w:t>
      </w:r>
      <w:r w:rsidRPr="007974D6">
        <w:rPr>
          <w:rFonts w:asciiTheme="majorHAnsi" w:hAnsiTheme="majorHAnsi"/>
          <w:b/>
        </w:rPr>
        <w:t>, (2014) 58 E.H.R.R. 13</w:t>
      </w:r>
      <w:r w:rsidRPr="007974D6">
        <w:rPr>
          <w:rFonts w:asciiTheme="majorHAnsi" w:hAnsiTheme="majorHAnsi"/>
        </w:rPr>
        <w:t xml:space="preserve">; Where applicants brought a claim under </w:t>
      </w:r>
      <w:r w:rsidR="007974D6">
        <w:rPr>
          <w:rFonts w:asciiTheme="majorHAnsi" w:hAnsiTheme="majorHAnsi"/>
        </w:rPr>
        <w:t>a</w:t>
      </w:r>
      <w:r w:rsidRPr="007974D6">
        <w:rPr>
          <w:rFonts w:asciiTheme="majorHAnsi" w:hAnsiTheme="majorHAnsi"/>
        </w:rPr>
        <w:t xml:space="preserve">rt. 2 </w:t>
      </w:r>
      <w:r w:rsidR="007974D6">
        <w:rPr>
          <w:rFonts w:asciiTheme="majorHAnsi" w:hAnsiTheme="majorHAnsi"/>
        </w:rPr>
        <w:t xml:space="preserve">ECHR </w:t>
      </w:r>
      <w:r w:rsidRPr="007974D6">
        <w:rPr>
          <w:rFonts w:asciiTheme="majorHAnsi" w:hAnsiTheme="majorHAnsi"/>
        </w:rPr>
        <w:t xml:space="preserve">following the shooting of their relatives by the security forces, the Strasbourg Court found a violation </w:t>
      </w:r>
      <w:r w:rsidR="007974D6">
        <w:rPr>
          <w:rFonts w:asciiTheme="majorHAnsi" w:hAnsiTheme="majorHAnsi"/>
        </w:rPr>
        <w:t>due to</w:t>
      </w:r>
      <w:r w:rsidRPr="007974D6">
        <w:rPr>
          <w:rFonts w:asciiTheme="majorHAnsi" w:hAnsiTheme="majorHAnsi"/>
        </w:rPr>
        <w:t xml:space="preserve"> the excessive delay in investigating </w:t>
      </w:r>
      <w:r w:rsidR="007974D6">
        <w:rPr>
          <w:rFonts w:asciiTheme="majorHAnsi" w:hAnsiTheme="majorHAnsi"/>
        </w:rPr>
        <w:t>the killings of the individuals.</w:t>
      </w:r>
      <w:r w:rsidRPr="007974D6">
        <w:rPr>
          <w:rFonts w:asciiTheme="majorHAnsi" w:hAnsiTheme="majorHAnsi"/>
        </w:rPr>
        <w:t xml:space="preserve"> </w:t>
      </w:r>
      <w:r w:rsidR="007974D6">
        <w:rPr>
          <w:rFonts w:asciiTheme="majorHAnsi" w:hAnsiTheme="majorHAnsi"/>
        </w:rPr>
        <w:t>T</w:t>
      </w:r>
      <w:r w:rsidRPr="007974D6">
        <w:rPr>
          <w:rFonts w:asciiTheme="majorHAnsi" w:hAnsiTheme="majorHAnsi"/>
        </w:rPr>
        <w:t xml:space="preserve">he </w:t>
      </w:r>
      <w:r w:rsidR="007974D6">
        <w:rPr>
          <w:rFonts w:asciiTheme="majorHAnsi" w:hAnsiTheme="majorHAnsi"/>
        </w:rPr>
        <w:t xml:space="preserve">UK </w:t>
      </w:r>
      <w:r w:rsidRPr="007974D6">
        <w:rPr>
          <w:rFonts w:asciiTheme="majorHAnsi" w:hAnsiTheme="majorHAnsi"/>
        </w:rPr>
        <w:t xml:space="preserve">Supreme Court had </w:t>
      </w:r>
      <w:r w:rsidR="007974D6">
        <w:rPr>
          <w:rFonts w:asciiTheme="majorHAnsi" w:hAnsiTheme="majorHAnsi"/>
        </w:rPr>
        <w:t>previously found</w:t>
      </w:r>
      <w:r w:rsidRPr="007974D6">
        <w:rPr>
          <w:rFonts w:asciiTheme="majorHAnsi" w:hAnsiTheme="majorHAnsi"/>
        </w:rPr>
        <w:t xml:space="preserve"> no violation as </w:t>
      </w:r>
      <w:r w:rsidR="007974D6">
        <w:rPr>
          <w:rFonts w:asciiTheme="majorHAnsi" w:hAnsiTheme="majorHAnsi"/>
        </w:rPr>
        <w:t>it was deemed that reasonable force had been used.</w:t>
      </w:r>
    </w:p>
    <w:p w14:paraId="13A0DDE5" w14:textId="77777777" w:rsidR="007974D6" w:rsidRPr="001F2B26" w:rsidRDefault="007974D6" w:rsidP="007974D6">
      <w:pPr>
        <w:pStyle w:val="ListParagraph"/>
        <w:spacing w:after="0" w:line="240" w:lineRule="auto"/>
        <w:ind w:left="1440"/>
        <w:jc w:val="both"/>
        <w:rPr>
          <w:rFonts w:asciiTheme="majorHAnsi" w:hAnsiTheme="majorHAnsi"/>
        </w:rPr>
      </w:pPr>
    </w:p>
    <w:p w14:paraId="3E8B492F" w14:textId="5CC283A1" w:rsidR="007974D6" w:rsidRPr="007974D6" w:rsidRDefault="00036668" w:rsidP="007974D6">
      <w:pPr>
        <w:pStyle w:val="ListParagraph"/>
        <w:numPr>
          <w:ilvl w:val="0"/>
          <w:numId w:val="12"/>
        </w:numPr>
        <w:spacing w:after="0" w:line="240" w:lineRule="auto"/>
        <w:jc w:val="both"/>
        <w:rPr>
          <w:rFonts w:asciiTheme="majorHAnsi" w:hAnsiTheme="majorHAnsi"/>
        </w:rPr>
      </w:pPr>
      <w:r w:rsidRPr="007974D6">
        <w:rPr>
          <w:rFonts w:asciiTheme="majorHAnsi" w:hAnsiTheme="majorHAnsi"/>
          <w:u w:val="single"/>
        </w:rPr>
        <w:t>1998</w:t>
      </w:r>
      <w:r w:rsidRPr="007974D6">
        <w:rPr>
          <w:rFonts w:asciiTheme="majorHAnsi" w:hAnsiTheme="majorHAnsi"/>
        </w:rPr>
        <w:t xml:space="preserve">: (Pre-HRA) </w:t>
      </w:r>
      <w:r w:rsidRPr="007974D6">
        <w:rPr>
          <w:rFonts w:asciiTheme="majorHAnsi" w:hAnsiTheme="majorHAnsi"/>
          <w:b/>
          <w:i/>
        </w:rPr>
        <w:t>Osman v. UK</w:t>
      </w:r>
      <w:r w:rsidRPr="007974D6">
        <w:rPr>
          <w:rFonts w:asciiTheme="majorHAnsi" w:hAnsiTheme="majorHAnsi"/>
          <w:b/>
        </w:rPr>
        <w:t>, (2000) 29 E.H.R.R. 245</w:t>
      </w:r>
      <w:r w:rsidRPr="007974D6">
        <w:rPr>
          <w:rFonts w:asciiTheme="majorHAnsi" w:hAnsiTheme="majorHAnsi"/>
        </w:rPr>
        <w:t xml:space="preserve">; where a victim was seriously injured and his father was killed after being shot by his former teacher, the victim brought a negligence claim against the police. The Court of Appeal ordered the action to be struck out as disclosing no reasonable cause of action on the ground that, following the House of lords’ ruling in </w:t>
      </w:r>
      <w:r w:rsidRPr="007974D6">
        <w:rPr>
          <w:rFonts w:asciiTheme="majorHAnsi" w:hAnsiTheme="majorHAnsi"/>
          <w:i/>
        </w:rPr>
        <w:t xml:space="preserve">Hill v. Chief Constable of West Yorkshire </w:t>
      </w:r>
      <w:r w:rsidRPr="007974D6">
        <w:rPr>
          <w:rFonts w:asciiTheme="majorHAnsi" w:hAnsiTheme="majorHAnsi"/>
        </w:rPr>
        <w:t>[1989] A.C. 53, for public policy reasons, no action in negligence could lie against the police in respect of the investigation a</w:t>
      </w:r>
      <w:r w:rsidR="007974D6">
        <w:rPr>
          <w:rFonts w:asciiTheme="majorHAnsi" w:hAnsiTheme="majorHAnsi"/>
        </w:rPr>
        <w:t>nd suppression of crime. After a</w:t>
      </w:r>
      <w:r w:rsidRPr="007974D6">
        <w:rPr>
          <w:rFonts w:asciiTheme="majorHAnsi" w:hAnsiTheme="majorHAnsi"/>
        </w:rPr>
        <w:t xml:space="preserve">pplying to the </w:t>
      </w:r>
      <w:proofErr w:type="spellStart"/>
      <w:r w:rsidRPr="007974D6">
        <w:rPr>
          <w:rFonts w:asciiTheme="majorHAnsi" w:hAnsiTheme="majorHAnsi"/>
        </w:rPr>
        <w:t>ECtHR</w:t>
      </w:r>
      <w:proofErr w:type="spellEnd"/>
      <w:r w:rsidRPr="007974D6">
        <w:rPr>
          <w:rFonts w:asciiTheme="majorHAnsi" w:hAnsiTheme="majorHAnsi"/>
        </w:rPr>
        <w:t xml:space="preserve">, Strasbourg found that the police’s blanket immunity provided by </w:t>
      </w:r>
      <w:r w:rsidRPr="007974D6">
        <w:rPr>
          <w:rFonts w:asciiTheme="majorHAnsi" w:hAnsiTheme="majorHAnsi"/>
          <w:i/>
        </w:rPr>
        <w:t xml:space="preserve">Hill </w:t>
      </w:r>
      <w:r w:rsidRPr="007974D6">
        <w:rPr>
          <w:rFonts w:asciiTheme="majorHAnsi" w:hAnsiTheme="majorHAnsi"/>
        </w:rPr>
        <w:t>constituted a disproportionate restriction on the family’s right to life, as well as the applicant’s Art.6 right to a fair trial</w:t>
      </w:r>
    </w:p>
    <w:p w14:paraId="4A4141AD" w14:textId="77777777" w:rsidR="007974D6" w:rsidRPr="007974D6" w:rsidRDefault="007974D6" w:rsidP="007974D6">
      <w:pPr>
        <w:pStyle w:val="ListParagraph"/>
        <w:rPr>
          <w:rFonts w:asciiTheme="majorHAnsi" w:hAnsiTheme="majorHAnsi"/>
          <w:b/>
          <w:u w:val="single"/>
        </w:rPr>
      </w:pPr>
    </w:p>
    <w:p w14:paraId="194D067E" w14:textId="73864DE8" w:rsidR="007974D6" w:rsidRDefault="001819C8" w:rsidP="007974D6">
      <w:pPr>
        <w:spacing w:after="0" w:line="240" w:lineRule="auto"/>
        <w:jc w:val="both"/>
        <w:rPr>
          <w:rFonts w:asciiTheme="majorHAnsi" w:hAnsiTheme="majorHAnsi"/>
          <w:b/>
        </w:rPr>
      </w:pPr>
      <w:r w:rsidRPr="007974D6">
        <w:rPr>
          <w:rFonts w:asciiTheme="majorHAnsi" w:hAnsiTheme="majorHAnsi"/>
          <w:b/>
        </w:rPr>
        <w:t>Article 3</w:t>
      </w:r>
      <w:r w:rsidR="007974D6">
        <w:rPr>
          <w:rFonts w:asciiTheme="majorHAnsi" w:hAnsiTheme="majorHAnsi"/>
          <w:b/>
        </w:rPr>
        <w:t xml:space="preserve"> – prohibition of torture </w:t>
      </w:r>
    </w:p>
    <w:p w14:paraId="5EBFAFF1" w14:textId="77777777" w:rsidR="007974D6" w:rsidRDefault="007974D6" w:rsidP="007974D6">
      <w:pPr>
        <w:spacing w:after="0" w:line="240" w:lineRule="auto"/>
        <w:jc w:val="both"/>
        <w:rPr>
          <w:rFonts w:asciiTheme="majorHAnsi" w:hAnsiTheme="majorHAnsi"/>
          <w:b/>
        </w:rPr>
      </w:pPr>
    </w:p>
    <w:p w14:paraId="38DF4873" w14:textId="38782499" w:rsidR="00ED4884" w:rsidRPr="007974D6" w:rsidRDefault="00ED4884" w:rsidP="007974D6">
      <w:pPr>
        <w:spacing w:after="0" w:line="240" w:lineRule="auto"/>
        <w:jc w:val="both"/>
        <w:rPr>
          <w:rFonts w:asciiTheme="majorHAnsi" w:hAnsiTheme="majorHAnsi"/>
        </w:rPr>
      </w:pPr>
      <w:r w:rsidRPr="007974D6">
        <w:rPr>
          <w:rFonts w:asciiTheme="majorHAnsi" w:hAnsiTheme="majorHAnsi"/>
        </w:rPr>
        <w:t>Cases which</w:t>
      </w:r>
      <w:r w:rsidR="007974D6">
        <w:rPr>
          <w:rFonts w:asciiTheme="majorHAnsi" w:hAnsiTheme="majorHAnsi"/>
        </w:rPr>
        <w:t xml:space="preserve"> have</w:t>
      </w:r>
      <w:r w:rsidRPr="007974D6">
        <w:rPr>
          <w:rFonts w:asciiTheme="majorHAnsi" w:hAnsiTheme="majorHAnsi"/>
        </w:rPr>
        <w:t xml:space="preserve"> improved victims</w:t>
      </w:r>
      <w:r w:rsidR="007974D6">
        <w:rPr>
          <w:rFonts w:asciiTheme="majorHAnsi" w:hAnsiTheme="majorHAnsi"/>
        </w:rPr>
        <w:t>’</w:t>
      </w:r>
      <w:r w:rsidRPr="007974D6">
        <w:rPr>
          <w:rFonts w:asciiTheme="majorHAnsi" w:hAnsiTheme="majorHAnsi"/>
        </w:rPr>
        <w:t xml:space="preserve"> </w:t>
      </w:r>
      <w:r w:rsidR="007974D6">
        <w:rPr>
          <w:rFonts w:asciiTheme="majorHAnsi" w:hAnsiTheme="majorHAnsi"/>
        </w:rPr>
        <w:t>right</w:t>
      </w:r>
      <w:r w:rsidRPr="007974D6">
        <w:rPr>
          <w:rFonts w:asciiTheme="majorHAnsi" w:hAnsiTheme="majorHAnsi"/>
        </w:rPr>
        <w:t xml:space="preserve">: </w:t>
      </w:r>
    </w:p>
    <w:p w14:paraId="68EB4183" w14:textId="712A15E9" w:rsidR="00985EA6" w:rsidRPr="007974D6" w:rsidRDefault="00985EA6" w:rsidP="007974D6">
      <w:pPr>
        <w:pStyle w:val="ListParagraph"/>
        <w:numPr>
          <w:ilvl w:val="0"/>
          <w:numId w:val="13"/>
        </w:numPr>
        <w:spacing w:after="0" w:line="240" w:lineRule="auto"/>
        <w:jc w:val="both"/>
        <w:rPr>
          <w:rFonts w:asciiTheme="majorHAnsi" w:hAnsiTheme="majorHAnsi"/>
        </w:rPr>
      </w:pPr>
      <w:r w:rsidRPr="007974D6">
        <w:rPr>
          <w:rFonts w:asciiTheme="majorHAnsi" w:hAnsiTheme="majorHAnsi"/>
          <w:u w:val="single"/>
        </w:rPr>
        <w:t>201</w:t>
      </w:r>
      <w:r w:rsidR="00D22FBA" w:rsidRPr="007974D6">
        <w:rPr>
          <w:rFonts w:asciiTheme="majorHAnsi" w:hAnsiTheme="majorHAnsi"/>
          <w:u w:val="single"/>
        </w:rPr>
        <w:t>4</w:t>
      </w:r>
      <w:r w:rsidRPr="007974D6">
        <w:rPr>
          <w:rFonts w:asciiTheme="majorHAnsi" w:hAnsiTheme="majorHAnsi"/>
        </w:rPr>
        <w:t xml:space="preserve">: </w:t>
      </w:r>
      <w:r w:rsidRPr="007974D6">
        <w:rPr>
          <w:rFonts w:asciiTheme="majorHAnsi" w:hAnsiTheme="majorHAnsi"/>
          <w:b/>
          <w:i/>
        </w:rPr>
        <w:t>Police v. DSD</w:t>
      </w:r>
      <w:r w:rsidR="00D22FBA" w:rsidRPr="007974D6">
        <w:rPr>
          <w:rFonts w:asciiTheme="majorHAnsi" w:hAnsiTheme="majorHAnsi"/>
          <w:b/>
        </w:rPr>
        <w:t>, [2014] EWHC 2493 (QB), [2015] 1 W.L. R. 1833;</w:t>
      </w:r>
      <w:r w:rsidR="00D22FBA" w:rsidRPr="007974D6">
        <w:rPr>
          <w:rFonts w:asciiTheme="majorHAnsi" w:hAnsiTheme="majorHAnsi"/>
        </w:rPr>
        <w:t xml:space="preserve"> Where the failure by police to conduct an effective investigation into allegations of rape </w:t>
      </w:r>
      <w:r w:rsidR="007974D6" w:rsidRPr="007974D6">
        <w:rPr>
          <w:rFonts w:asciiTheme="majorHAnsi" w:hAnsiTheme="majorHAnsi"/>
        </w:rPr>
        <w:t>amounted to a violation of a</w:t>
      </w:r>
      <w:r w:rsidR="00D22FBA" w:rsidRPr="007974D6">
        <w:rPr>
          <w:rFonts w:asciiTheme="majorHAnsi" w:hAnsiTheme="majorHAnsi"/>
        </w:rPr>
        <w:t>rt.</w:t>
      </w:r>
      <w:r w:rsidR="007974D6" w:rsidRPr="007974D6">
        <w:rPr>
          <w:rFonts w:asciiTheme="majorHAnsi" w:hAnsiTheme="majorHAnsi"/>
        </w:rPr>
        <w:t xml:space="preserve"> </w:t>
      </w:r>
      <w:r w:rsidR="00D22FBA" w:rsidRPr="007974D6">
        <w:rPr>
          <w:rFonts w:asciiTheme="majorHAnsi" w:hAnsiTheme="majorHAnsi"/>
        </w:rPr>
        <w:t>3</w:t>
      </w:r>
      <w:r w:rsidR="007974D6" w:rsidRPr="007974D6">
        <w:rPr>
          <w:rFonts w:asciiTheme="majorHAnsi" w:hAnsiTheme="majorHAnsi"/>
        </w:rPr>
        <w:t xml:space="preserve"> ECHR</w:t>
      </w:r>
      <w:r w:rsidR="00D22FBA" w:rsidRPr="007974D6">
        <w:rPr>
          <w:rFonts w:asciiTheme="majorHAnsi" w:hAnsiTheme="majorHAnsi"/>
        </w:rPr>
        <w:t xml:space="preserve">, the victims of rape by a serial rapist were entitled to a financial remedy for harm caused by the police failings on top of sums received in civil claims for the harm caused by the rapes. </w:t>
      </w:r>
    </w:p>
    <w:p w14:paraId="76978B78" w14:textId="77777777" w:rsidR="007974D6" w:rsidRPr="001F2B26" w:rsidRDefault="007974D6" w:rsidP="007974D6">
      <w:pPr>
        <w:pStyle w:val="ListParagraph"/>
        <w:spacing w:after="0" w:line="240" w:lineRule="auto"/>
        <w:ind w:left="1440"/>
        <w:jc w:val="both"/>
        <w:rPr>
          <w:rFonts w:asciiTheme="majorHAnsi" w:hAnsiTheme="majorHAnsi"/>
        </w:rPr>
      </w:pPr>
    </w:p>
    <w:p w14:paraId="243D2159" w14:textId="06AE71A1" w:rsidR="00107020" w:rsidRDefault="00ED4884" w:rsidP="007974D6">
      <w:pPr>
        <w:pStyle w:val="ListParagraph"/>
        <w:numPr>
          <w:ilvl w:val="0"/>
          <w:numId w:val="13"/>
        </w:numPr>
        <w:spacing w:after="0" w:line="240" w:lineRule="auto"/>
        <w:jc w:val="both"/>
        <w:rPr>
          <w:rFonts w:asciiTheme="majorHAnsi" w:hAnsiTheme="majorHAnsi"/>
        </w:rPr>
      </w:pPr>
      <w:r w:rsidRPr="007974D6">
        <w:rPr>
          <w:rFonts w:asciiTheme="majorHAnsi" w:hAnsiTheme="majorHAnsi"/>
          <w:u w:val="single"/>
        </w:rPr>
        <w:t>2011</w:t>
      </w:r>
      <w:r w:rsidRPr="007974D6">
        <w:rPr>
          <w:rFonts w:asciiTheme="majorHAnsi" w:hAnsiTheme="majorHAnsi"/>
        </w:rPr>
        <w:t xml:space="preserve">: </w:t>
      </w:r>
      <w:r w:rsidRPr="007974D6">
        <w:rPr>
          <w:rFonts w:asciiTheme="majorHAnsi" w:hAnsiTheme="majorHAnsi"/>
          <w:b/>
          <w:i/>
        </w:rPr>
        <w:t>OOO and others v. the Metropolitan Police</w:t>
      </w:r>
      <w:r w:rsidRPr="007974D6">
        <w:rPr>
          <w:rFonts w:asciiTheme="majorHAnsi" w:hAnsiTheme="majorHAnsi"/>
          <w:b/>
        </w:rPr>
        <w:t>, [2011] EWHC 1246 (QB)</w:t>
      </w:r>
      <w:r w:rsidRPr="007974D6">
        <w:rPr>
          <w:rFonts w:asciiTheme="majorHAnsi" w:hAnsiTheme="majorHAnsi"/>
        </w:rPr>
        <w:t xml:space="preserve">; Where four girls had been trafficked from Nigeria to the UK and forced to work as domestic slaves, the </w:t>
      </w:r>
      <w:r w:rsidR="007974D6">
        <w:rPr>
          <w:rFonts w:asciiTheme="majorHAnsi" w:hAnsiTheme="majorHAnsi"/>
        </w:rPr>
        <w:t>Court</w:t>
      </w:r>
      <w:r w:rsidRPr="007974D6">
        <w:rPr>
          <w:rFonts w:asciiTheme="majorHAnsi" w:hAnsiTheme="majorHAnsi"/>
        </w:rPr>
        <w:t xml:space="preserve"> found that the duty of the police to investigate alleged breaches of an individual’s right to freedom from inhuman or degrading treatment under Article 3 (as well as freedom from slavery or servitude under Article 4) would not be limited to situations where the complaint was received by the victim themselves, but wherever a credible allegation </w:t>
      </w:r>
      <w:r w:rsidR="007974D6">
        <w:rPr>
          <w:rFonts w:asciiTheme="majorHAnsi" w:hAnsiTheme="majorHAnsi"/>
        </w:rPr>
        <w:t>w</w:t>
      </w:r>
      <w:r w:rsidRPr="007974D6">
        <w:rPr>
          <w:rFonts w:asciiTheme="majorHAnsi" w:hAnsiTheme="majorHAnsi"/>
        </w:rPr>
        <w:t>a</w:t>
      </w:r>
      <w:r w:rsidR="007974D6">
        <w:rPr>
          <w:rFonts w:asciiTheme="majorHAnsi" w:hAnsiTheme="majorHAnsi"/>
        </w:rPr>
        <w:t>s</w:t>
      </w:r>
      <w:r w:rsidRPr="007974D6">
        <w:rPr>
          <w:rFonts w:asciiTheme="majorHAnsi" w:hAnsiTheme="majorHAnsi"/>
        </w:rPr>
        <w:t xml:space="preserve"> received</w:t>
      </w:r>
      <w:r w:rsidR="007974D6">
        <w:rPr>
          <w:rFonts w:asciiTheme="majorHAnsi" w:hAnsiTheme="majorHAnsi"/>
        </w:rPr>
        <w:t>.</w:t>
      </w:r>
    </w:p>
    <w:p w14:paraId="7C028BED" w14:textId="77777777" w:rsidR="007974D6" w:rsidRPr="007974D6" w:rsidRDefault="007974D6" w:rsidP="007974D6">
      <w:pPr>
        <w:pStyle w:val="ListParagraph"/>
        <w:rPr>
          <w:rFonts w:asciiTheme="majorHAnsi" w:hAnsiTheme="majorHAnsi"/>
        </w:rPr>
      </w:pPr>
    </w:p>
    <w:p w14:paraId="5835163E" w14:textId="0C7B2E0A" w:rsidR="00ED4884" w:rsidRDefault="00C8506A" w:rsidP="007974D6">
      <w:pPr>
        <w:pStyle w:val="ListParagraph"/>
        <w:numPr>
          <w:ilvl w:val="0"/>
          <w:numId w:val="13"/>
        </w:numPr>
        <w:spacing w:after="0" w:line="240" w:lineRule="auto"/>
        <w:jc w:val="both"/>
        <w:rPr>
          <w:rFonts w:asciiTheme="majorHAnsi" w:hAnsiTheme="majorHAnsi"/>
        </w:rPr>
      </w:pPr>
      <w:r w:rsidRPr="007974D6">
        <w:rPr>
          <w:rFonts w:asciiTheme="majorHAnsi" w:hAnsiTheme="majorHAnsi"/>
          <w:u w:val="single"/>
        </w:rPr>
        <w:lastRenderedPageBreak/>
        <w:t>2009</w:t>
      </w:r>
      <w:r w:rsidRPr="007974D6">
        <w:rPr>
          <w:rFonts w:asciiTheme="majorHAnsi" w:hAnsiTheme="majorHAnsi"/>
        </w:rPr>
        <w:t xml:space="preserve">: </w:t>
      </w:r>
      <w:proofErr w:type="gramStart"/>
      <w:r w:rsidRPr="007974D6">
        <w:rPr>
          <w:rFonts w:asciiTheme="majorHAnsi" w:hAnsiTheme="majorHAnsi"/>
          <w:b/>
          <w:i/>
        </w:rPr>
        <w:t>R(</w:t>
      </w:r>
      <w:proofErr w:type="gramEnd"/>
      <w:r w:rsidRPr="007974D6">
        <w:rPr>
          <w:rFonts w:asciiTheme="majorHAnsi" w:hAnsiTheme="majorHAnsi"/>
          <w:b/>
          <w:i/>
        </w:rPr>
        <w:t>B) v. DPP</w:t>
      </w:r>
      <w:r w:rsidRPr="007974D6">
        <w:rPr>
          <w:rFonts w:asciiTheme="majorHAnsi" w:hAnsiTheme="majorHAnsi"/>
          <w:b/>
        </w:rPr>
        <w:t>, [2009] EWHC 106 (Admin)</w:t>
      </w:r>
      <w:r w:rsidRPr="007974D6">
        <w:rPr>
          <w:rFonts w:asciiTheme="majorHAnsi" w:hAnsiTheme="majorHAnsi"/>
        </w:rPr>
        <w:t xml:space="preserve">; Where prosecution </w:t>
      </w:r>
      <w:r w:rsidR="008F1945" w:rsidRPr="007974D6">
        <w:rPr>
          <w:rFonts w:asciiTheme="majorHAnsi" w:hAnsiTheme="majorHAnsi"/>
        </w:rPr>
        <w:t xml:space="preserve">by the DPP of a serious assault </w:t>
      </w:r>
      <w:r w:rsidRPr="007974D6">
        <w:rPr>
          <w:rFonts w:asciiTheme="majorHAnsi" w:hAnsiTheme="majorHAnsi"/>
        </w:rPr>
        <w:t xml:space="preserve">was discontinued </w:t>
      </w:r>
      <w:r w:rsidR="00694E43">
        <w:rPr>
          <w:rFonts w:asciiTheme="majorHAnsi" w:hAnsiTheme="majorHAnsi"/>
        </w:rPr>
        <w:t xml:space="preserve">the day before trial </w:t>
      </w:r>
      <w:r w:rsidRPr="007974D6">
        <w:rPr>
          <w:rFonts w:asciiTheme="majorHAnsi" w:hAnsiTheme="majorHAnsi"/>
        </w:rPr>
        <w:t>on the basis of a victim’</w:t>
      </w:r>
      <w:r w:rsidR="008F1945" w:rsidRPr="007974D6">
        <w:rPr>
          <w:rFonts w:asciiTheme="majorHAnsi" w:hAnsiTheme="majorHAnsi"/>
        </w:rPr>
        <w:t xml:space="preserve">s mental condition (deeming he could not be put before a jury as a reliable witness), the Strasbourg court ruled that the discontinuation was </w:t>
      </w:r>
      <w:r w:rsidR="00694E43">
        <w:rPr>
          <w:rFonts w:asciiTheme="majorHAnsi" w:hAnsiTheme="majorHAnsi"/>
        </w:rPr>
        <w:t xml:space="preserve">an </w:t>
      </w:r>
      <w:r w:rsidR="008F1945" w:rsidRPr="007974D6">
        <w:rPr>
          <w:rFonts w:asciiTheme="majorHAnsi" w:hAnsiTheme="majorHAnsi"/>
        </w:rPr>
        <w:t xml:space="preserve">irrational </w:t>
      </w:r>
      <w:r w:rsidR="00694E43">
        <w:rPr>
          <w:rFonts w:asciiTheme="majorHAnsi" w:hAnsiTheme="majorHAnsi"/>
        </w:rPr>
        <w:t xml:space="preserve">exercise of the DPP’s discretion </w:t>
      </w:r>
      <w:r w:rsidR="008F1945" w:rsidRPr="007974D6">
        <w:rPr>
          <w:rFonts w:asciiTheme="majorHAnsi" w:hAnsiTheme="majorHAnsi"/>
        </w:rPr>
        <w:t>and violat</w:t>
      </w:r>
      <w:r w:rsidR="00694E43">
        <w:rPr>
          <w:rFonts w:asciiTheme="majorHAnsi" w:hAnsiTheme="majorHAnsi"/>
        </w:rPr>
        <w:t>ed</w:t>
      </w:r>
      <w:r w:rsidR="008F1945" w:rsidRPr="007974D6">
        <w:rPr>
          <w:rFonts w:asciiTheme="majorHAnsi" w:hAnsiTheme="majorHAnsi"/>
        </w:rPr>
        <w:t xml:space="preserve"> the v</w:t>
      </w:r>
      <w:r w:rsidR="00694E43">
        <w:rPr>
          <w:rFonts w:asciiTheme="majorHAnsi" w:hAnsiTheme="majorHAnsi"/>
        </w:rPr>
        <w:t>ictim’s rights under Article 3 because he suffered humiliation, was made to feel like a second class citizen and increased his feeling of vulnerability.</w:t>
      </w:r>
    </w:p>
    <w:p w14:paraId="2709B7C8" w14:textId="77777777" w:rsidR="00694E43" w:rsidRPr="00694E43" w:rsidRDefault="00694E43" w:rsidP="00694E43">
      <w:pPr>
        <w:pStyle w:val="ListParagraph"/>
        <w:rPr>
          <w:rFonts w:asciiTheme="majorHAnsi" w:hAnsiTheme="majorHAnsi"/>
        </w:rPr>
      </w:pPr>
    </w:p>
    <w:p w14:paraId="4141C93B" w14:textId="77777777" w:rsidR="00694E43" w:rsidRDefault="00985EA6" w:rsidP="00694E43">
      <w:pPr>
        <w:pStyle w:val="ListParagraph"/>
        <w:numPr>
          <w:ilvl w:val="0"/>
          <w:numId w:val="13"/>
        </w:numPr>
        <w:spacing w:after="0" w:line="240" w:lineRule="auto"/>
        <w:jc w:val="both"/>
        <w:rPr>
          <w:rFonts w:asciiTheme="majorHAnsi" w:hAnsiTheme="majorHAnsi"/>
        </w:rPr>
      </w:pPr>
      <w:r w:rsidRPr="00694E43">
        <w:rPr>
          <w:rFonts w:asciiTheme="majorHAnsi" w:hAnsiTheme="majorHAnsi"/>
          <w:u w:val="single"/>
        </w:rPr>
        <w:t>2001</w:t>
      </w:r>
      <w:r w:rsidRPr="00694E43">
        <w:rPr>
          <w:rFonts w:asciiTheme="majorHAnsi" w:hAnsiTheme="majorHAnsi"/>
        </w:rPr>
        <w:t xml:space="preserve">: </w:t>
      </w:r>
      <w:r w:rsidRPr="00694E43">
        <w:rPr>
          <w:rFonts w:asciiTheme="majorHAnsi" w:hAnsiTheme="majorHAnsi"/>
          <w:b/>
          <w:i/>
        </w:rPr>
        <w:t>Price v. UK</w:t>
      </w:r>
      <w:r w:rsidRPr="00694E43">
        <w:rPr>
          <w:rFonts w:asciiTheme="majorHAnsi" w:hAnsiTheme="majorHAnsi"/>
          <w:b/>
        </w:rPr>
        <w:t xml:space="preserve">, </w:t>
      </w:r>
      <w:r w:rsidR="00E62786" w:rsidRPr="00694E43">
        <w:rPr>
          <w:rFonts w:asciiTheme="majorHAnsi" w:hAnsiTheme="majorHAnsi"/>
          <w:b/>
        </w:rPr>
        <w:t>(2002) 34 E.H.R.R. 53</w:t>
      </w:r>
      <w:r w:rsidR="00E62786" w:rsidRPr="00694E43">
        <w:rPr>
          <w:rFonts w:asciiTheme="majorHAnsi" w:hAnsiTheme="majorHAnsi"/>
        </w:rPr>
        <w:t xml:space="preserve">; </w:t>
      </w:r>
      <w:r w:rsidR="00694E43">
        <w:rPr>
          <w:rFonts w:asciiTheme="majorHAnsi" w:hAnsiTheme="majorHAnsi"/>
        </w:rPr>
        <w:t>A</w:t>
      </w:r>
      <w:r w:rsidR="00E62786" w:rsidRPr="00694E43">
        <w:rPr>
          <w:rFonts w:asciiTheme="majorHAnsi" w:hAnsiTheme="majorHAnsi"/>
        </w:rPr>
        <w:t xml:space="preserve"> severely disabled person was detained in a prison cell that was not adapted to the needs of a disabled person, causing her to suffer degrading treatment.</w:t>
      </w:r>
    </w:p>
    <w:p w14:paraId="70220366" w14:textId="77777777" w:rsidR="00694E43" w:rsidRPr="00694E43" w:rsidRDefault="00694E43" w:rsidP="00694E43">
      <w:pPr>
        <w:pStyle w:val="ListParagraph"/>
        <w:rPr>
          <w:rFonts w:asciiTheme="majorHAnsi" w:hAnsiTheme="majorHAnsi"/>
        </w:rPr>
      </w:pPr>
    </w:p>
    <w:p w14:paraId="748D9F69" w14:textId="7DA07E7F" w:rsidR="001819C8" w:rsidRDefault="00ED4884" w:rsidP="00694E43">
      <w:pPr>
        <w:spacing w:after="0" w:line="240" w:lineRule="auto"/>
        <w:jc w:val="both"/>
        <w:rPr>
          <w:rFonts w:asciiTheme="majorHAnsi" w:hAnsiTheme="majorHAnsi"/>
        </w:rPr>
      </w:pPr>
      <w:r w:rsidRPr="00694E43">
        <w:rPr>
          <w:rFonts w:asciiTheme="majorHAnsi" w:hAnsiTheme="majorHAnsi"/>
        </w:rPr>
        <w:t xml:space="preserve">Cases which </w:t>
      </w:r>
      <w:r w:rsidR="00D26671">
        <w:rPr>
          <w:rFonts w:asciiTheme="majorHAnsi" w:hAnsiTheme="majorHAnsi"/>
        </w:rPr>
        <w:t xml:space="preserve">have </w:t>
      </w:r>
      <w:r w:rsidRPr="00694E43">
        <w:rPr>
          <w:rFonts w:asciiTheme="majorHAnsi" w:hAnsiTheme="majorHAnsi"/>
        </w:rPr>
        <w:t xml:space="preserve">improved </w:t>
      </w:r>
      <w:r w:rsidR="00D26671">
        <w:rPr>
          <w:rFonts w:asciiTheme="majorHAnsi" w:hAnsiTheme="majorHAnsi"/>
        </w:rPr>
        <w:t>suspect’s rights</w:t>
      </w:r>
      <w:r w:rsidRPr="00694E43">
        <w:rPr>
          <w:rFonts w:asciiTheme="majorHAnsi" w:hAnsiTheme="majorHAnsi"/>
        </w:rPr>
        <w:t>:</w:t>
      </w:r>
    </w:p>
    <w:p w14:paraId="2C18CF41" w14:textId="77777777" w:rsidR="00694E43" w:rsidRPr="00694E43" w:rsidRDefault="00694E43" w:rsidP="00694E43">
      <w:pPr>
        <w:spacing w:after="0" w:line="240" w:lineRule="auto"/>
        <w:jc w:val="both"/>
        <w:rPr>
          <w:rFonts w:asciiTheme="majorHAnsi" w:hAnsiTheme="majorHAnsi"/>
          <w:u w:val="single"/>
        </w:rPr>
      </w:pPr>
    </w:p>
    <w:p w14:paraId="3F23E3C1" w14:textId="5DA44B47" w:rsidR="00D26671" w:rsidRPr="00D26671" w:rsidRDefault="00985EA6" w:rsidP="00D26671">
      <w:pPr>
        <w:pStyle w:val="ListParagraph"/>
        <w:numPr>
          <w:ilvl w:val="0"/>
          <w:numId w:val="15"/>
        </w:numPr>
        <w:spacing w:after="0" w:line="240" w:lineRule="auto"/>
        <w:jc w:val="both"/>
        <w:rPr>
          <w:rFonts w:asciiTheme="majorHAnsi" w:hAnsiTheme="majorHAnsi"/>
        </w:rPr>
      </w:pPr>
      <w:r w:rsidRPr="00D26671">
        <w:rPr>
          <w:rFonts w:asciiTheme="majorHAnsi" w:hAnsiTheme="majorHAnsi"/>
          <w:u w:val="single"/>
        </w:rPr>
        <w:t>20</w:t>
      </w:r>
      <w:r w:rsidR="00B00EC5" w:rsidRPr="00D26671">
        <w:rPr>
          <w:rFonts w:asciiTheme="majorHAnsi" w:hAnsiTheme="majorHAnsi"/>
          <w:u w:val="single"/>
        </w:rPr>
        <w:t>13</w:t>
      </w:r>
      <w:r w:rsidRPr="00D26671">
        <w:rPr>
          <w:rFonts w:asciiTheme="majorHAnsi" w:hAnsiTheme="majorHAnsi"/>
        </w:rPr>
        <w:t xml:space="preserve">: </w:t>
      </w:r>
      <w:proofErr w:type="spellStart"/>
      <w:r w:rsidR="00CA6A25" w:rsidRPr="00D26671">
        <w:rPr>
          <w:rFonts w:asciiTheme="majorHAnsi" w:hAnsiTheme="majorHAnsi"/>
          <w:b/>
          <w:i/>
        </w:rPr>
        <w:t>Vinter</w:t>
      </w:r>
      <w:proofErr w:type="spellEnd"/>
      <w:r w:rsidR="006E7A87" w:rsidRPr="00D26671">
        <w:rPr>
          <w:rFonts w:asciiTheme="majorHAnsi" w:hAnsiTheme="majorHAnsi"/>
          <w:b/>
          <w:i/>
        </w:rPr>
        <w:t xml:space="preserve"> v. United Kingdom (66069/09)</w:t>
      </w:r>
      <w:r w:rsidR="00B00EC5" w:rsidRPr="00D26671">
        <w:rPr>
          <w:rFonts w:asciiTheme="majorHAnsi" w:hAnsiTheme="majorHAnsi"/>
          <w:b/>
        </w:rPr>
        <w:t xml:space="preserve"> and </w:t>
      </w:r>
      <w:proofErr w:type="spellStart"/>
      <w:r w:rsidR="00B00EC5" w:rsidRPr="00D26671">
        <w:rPr>
          <w:rFonts w:asciiTheme="majorHAnsi" w:hAnsiTheme="majorHAnsi"/>
          <w:b/>
          <w:i/>
        </w:rPr>
        <w:t>Bamber</w:t>
      </w:r>
      <w:proofErr w:type="spellEnd"/>
      <w:r w:rsidR="00B00EC5" w:rsidRPr="00D26671">
        <w:rPr>
          <w:rFonts w:asciiTheme="majorHAnsi" w:hAnsiTheme="majorHAnsi"/>
          <w:b/>
          <w:i/>
        </w:rPr>
        <w:t xml:space="preserve"> v. United Kingdom (130/10)</w:t>
      </w:r>
      <w:r w:rsidR="00B00EC5" w:rsidRPr="00D26671">
        <w:rPr>
          <w:rFonts w:asciiTheme="majorHAnsi" w:hAnsiTheme="majorHAnsi"/>
          <w:b/>
        </w:rPr>
        <w:t xml:space="preserve"> </w:t>
      </w:r>
      <w:r w:rsidR="006E7A87" w:rsidRPr="00D26671">
        <w:rPr>
          <w:rFonts w:asciiTheme="majorHAnsi" w:hAnsiTheme="majorHAnsi"/>
          <w:b/>
        </w:rPr>
        <w:t xml:space="preserve"> 34 B.H</w:t>
      </w:r>
      <w:r w:rsidR="00496CAF" w:rsidRPr="00D26671">
        <w:rPr>
          <w:rFonts w:asciiTheme="majorHAnsi" w:hAnsiTheme="majorHAnsi"/>
          <w:b/>
        </w:rPr>
        <w:t>.R.C. 605, [2014] Crim. L.R. 91</w:t>
      </w:r>
      <w:r w:rsidR="00496CAF" w:rsidRPr="00D26671">
        <w:rPr>
          <w:rFonts w:asciiTheme="majorHAnsi" w:hAnsiTheme="majorHAnsi"/>
        </w:rPr>
        <w:t>;</w:t>
      </w:r>
      <w:r w:rsidR="00B00EC5" w:rsidRPr="00D26671">
        <w:rPr>
          <w:rFonts w:asciiTheme="majorHAnsi" w:hAnsiTheme="majorHAnsi"/>
        </w:rPr>
        <w:t xml:space="preserve"> </w:t>
      </w:r>
      <w:r w:rsidR="00496CAF" w:rsidRPr="00D26671">
        <w:rPr>
          <w:rFonts w:asciiTheme="majorHAnsi" w:hAnsiTheme="majorHAnsi"/>
        </w:rPr>
        <w:t xml:space="preserve">For a sentence of life imprisonment to be compatible with Art.3, the Strasbourg court ruled there had to be a possibility of review and a possibility of release. </w:t>
      </w:r>
      <w:r w:rsidR="00B00EC5" w:rsidRPr="00D26671">
        <w:rPr>
          <w:rFonts w:asciiTheme="majorHAnsi" w:hAnsiTheme="majorHAnsi"/>
        </w:rPr>
        <w:t xml:space="preserve">In </w:t>
      </w:r>
      <w:proofErr w:type="spellStart"/>
      <w:r w:rsidR="00B00EC5" w:rsidRPr="00D26671">
        <w:rPr>
          <w:rFonts w:asciiTheme="majorHAnsi" w:hAnsiTheme="majorHAnsi"/>
          <w:i/>
        </w:rPr>
        <w:t>Vinter</w:t>
      </w:r>
      <w:proofErr w:type="spellEnd"/>
      <w:r w:rsidR="00B00EC5" w:rsidRPr="00D26671">
        <w:rPr>
          <w:rFonts w:asciiTheme="majorHAnsi" w:hAnsiTheme="majorHAnsi"/>
        </w:rPr>
        <w:t>, t</w:t>
      </w:r>
      <w:r w:rsidR="00496CAF" w:rsidRPr="00D26671">
        <w:rPr>
          <w:rFonts w:asciiTheme="majorHAnsi" w:hAnsiTheme="majorHAnsi"/>
        </w:rPr>
        <w:t xml:space="preserve">he Court of Appeal had found ‘whole life terms’ appropriate for offenders convicted of a second murder, having the element of premeditation following the kidnapping of his victim. </w:t>
      </w:r>
      <w:r w:rsidR="00D26671" w:rsidRPr="00D26671">
        <w:rPr>
          <w:rFonts w:asciiTheme="majorHAnsi" w:hAnsiTheme="majorHAnsi"/>
        </w:rPr>
        <w:t xml:space="preserve">However in </w:t>
      </w:r>
      <w:r w:rsidR="00D26671" w:rsidRPr="00D26671">
        <w:rPr>
          <w:rFonts w:asciiTheme="majorHAnsi" w:hAnsiTheme="majorHAnsi"/>
          <w:u w:val="single"/>
        </w:rPr>
        <w:t>2014</w:t>
      </w:r>
      <w:r w:rsidR="00D26671" w:rsidRPr="00D26671">
        <w:rPr>
          <w:rFonts w:asciiTheme="majorHAnsi" w:hAnsiTheme="majorHAnsi"/>
        </w:rPr>
        <w:t xml:space="preserve">: </w:t>
      </w:r>
      <w:r w:rsidR="00D26671" w:rsidRPr="00D26671">
        <w:rPr>
          <w:rFonts w:asciiTheme="majorHAnsi" w:hAnsiTheme="majorHAnsi"/>
          <w:b/>
          <w:i/>
        </w:rPr>
        <w:t>R. v. Newell (Lee William) [Attorney General’s Reference (No.69 of 2013))</w:t>
      </w:r>
      <w:r w:rsidR="00D26671" w:rsidRPr="00D26671">
        <w:rPr>
          <w:rFonts w:asciiTheme="majorHAnsi" w:hAnsiTheme="majorHAnsi"/>
          <w:b/>
        </w:rPr>
        <w:t>, [2014] EWCA Crim 188</w:t>
      </w:r>
      <w:r w:rsidR="00D26671" w:rsidRPr="00D26671">
        <w:rPr>
          <w:rFonts w:asciiTheme="majorHAnsi" w:hAnsiTheme="majorHAnsi"/>
        </w:rPr>
        <w:t xml:space="preserve">; </w:t>
      </w:r>
      <w:proofErr w:type="gramStart"/>
      <w:r w:rsidR="00D26671" w:rsidRPr="00D26671">
        <w:rPr>
          <w:rFonts w:asciiTheme="majorHAnsi" w:hAnsiTheme="majorHAnsi"/>
        </w:rPr>
        <w:t>The</w:t>
      </w:r>
      <w:proofErr w:type="gramEnd"/>
      <w:r w:rsidR="00D26671" w:rsidRPr="00D26671">
        <w:rPr>
          <w:rFonts w:asciiTheme="majorHAnsi" w:hAnsiTheme="majorHAnsi"/>
        </w:rPr>
        <w:t xml:space="preserve"> applicant appealed against the imposition of a whole-life term of imprisonment following conviction for murder. The Court of Appeal held that the scheme for release under Crime (Sentences) Act 1997 did not violate the Convention because the section 30 “exception circumstances” for release provision must be exercised compatibly with article 3 ECHR. Moreover, the terms of the Indeterminate Sentence Manual cannot restrict the duty </w:t>
      </w:r>
      <w:r w:rsidR="00084EE7">
        <w:rPr>
          <w:rFonts w:asciiTheme="majorHAnsi" w:hAnsiTheme="majorHAnsi"/>
        </w:rPr>
        <w:t xml:space="preserve">to </w:t>
      </w:r>
      <w:r w:rsidR="00D26671" w:rsidRPr="00D26671">
        <w:rPr>
          <w:rFonts w:asciiTheme="majorHAnsi" w:hAnsiTheme="majorHAnsi"/>
        </w:rPr>
        <w:t>comply with the ECHR or fetter the Secretary of State</w:t>
      </w:r>
      <w:r w:rsidR="00084EE7">
        <w:rPr>
          <w:rFonts w:asciiTheme="majorHAnsi" w:hAnsiTheme="majorHAnsi"/>
        </w:rPr>
        <w:t xml:space="preserve">’s discretion to release, </w:t>
      </w:r>
      <w:proofErr w:type="gramStart"/>
      <w:r w:rsidR="00084EE7">
        <w:rPr>
          <w:rFonts w:asciiTheme="majorHAnsi" w:hAnsiTheme="majorHAnsi"/>
        </w:rPr>
        <w:t>who</w:t>
      </w:r>
      <w:proofErr w:type="gramEnd"/>
      <w:r w:rsidR="00084EE7">
        <w:rPr>
          <w:rFonts w:asciiTheme="majorHAnsi" w:hAnsiTheme="majorHAnsi"/>
        </w:rPr>
        <w:t xml:space="preserve"> must consider all the circumstances and is subject to judicial review. In </w:t>
      </w:r>
      <w:r w:rsidR="00084EE7">
        <w:rPr>
          <w:rFonts w:asciiTheme="majorHAnsi" w:hAnsiTheme="majorHAnsi"/>
          <w:b/>
          <w:i/>
        </w:rPr>
        <w:t xml:space="preserve">Hutchinson v. United Kingdom </w:t>
      </w:r>
      <w:r w:rsidR="00084EE7" w:rsidRPr="00084EE7">
        <w:rPr>
          <w:rFonts w:asciiTheme="majorHAnsi" w:hAnsiTheme="majorHAnsi"/>
        </w:rPr>
        <w:t>App No, 57592/08, 3 Feb 2015</w:t>
      </w:r>
      <w:r w:rsidR="00084EE7">
        <w:rPr>
          <w:rFonts w:asciiTheme="majorHAnsi" w:hAnsiTheme="majorHAnsi"/>
        </w:rPr>
        <w:t xml:space="preserve"> the ECHR’s fourth section accepted this reasoning and was satisfied that it clarified how article 3 would be complied with in a whole life review case. </w:t>
      </w:r>
      <w:r w:rsidR="00084EE7">
        <w:rPr>
          <w:rFonts w:asciiTheme="majorHAnsi" w:hAnsiTheme="majorHAnsi"/>
          <w:i/>
        </w:rPr>
        <w:t xml:space="preserve">Hutchinson </w:t>
      </w:r>
      <w:r w:rsidR="009644DF">
        <w:rPr>
          <w:rFonts w:asciiTheme="majorHAnsi" w:hAnsiTheme="majorHAnsi"/>
        </w:rPr>
        <w:t>w</w:t>
      </w:r>
      <w:r w:rsidR="00084EE7">
        <w:rPr>
          <w:rFonts w:asciiTheme="majorHAnsi" w:hAnsiTheme="majorHAnsi"/>
        </w:rPr>
        <w:t>as referred to</w:t>
      </w:r>
      <w:r w:rsidR="009644DF">
        <w:rPr>
          <w:rFonts w:asciiTheme="majorHAnsi" w:hAnsiTheme="majorHAnsi"/>
        </w:rPr>
        <w:t xml:space="preserve"> the Grand Chamber and a decision is pending.</w:t>
      </w:r>
    </w:p>
    <w:p w14:paraId="696F1D71" w14:textId="175562C6" w:rsidR="00B00EC5" w:rsidRDefault="00B00EC5" w:rsidP="009644DF">
      <w:pPr>
        <w:pStyle w:val="ListParagraph"/>
        <w:spacing w:after="0" w:line="240" w:lineRule="auto"/>
        <w:jc w:val="both"/>
        <w:rPr>
          <w:rFonts w:asciiTheme="majorHAnsi" w:hAnsiTheme="majorHAnsi"/>
        </w:rPr>
      </w:pPr>
    </w:p>
    <w:p w14:paraId="66C96239" w14:textId="25487A8D" w:rsidR="004668B6" w:rsidRPr="009644DF" w:rsidRDefault="004668B6" w:rsidP="009644DF">
      <w:pPr>
        <w:pStyle w:val="ListParagraph"/>
        <w:numPr>
          <w:ilvl w:val="0"/>
          <w:numId w:val="14"/>
        </w:numPr>
        <w:spacing w:after="0" w:line="240" w:lineRule="auto"/>
        <w:jc w:val="both"/>
        <w:rPr>
          <w:rFonts w:asciiTheme="majorHAnsi" w:hAnsiTheme="majorHAnsi"/>
        </w:rPr>
      </w:pPr>
      <w:r w:rsidRPr="009644DF">
        <w:rPr>
          <w:rFonts w:asciiTheme="majorHAnsi" w:hAnsiTheme="majorHAnsi"/>
          <w:u w:val="single"/>
        </w:rPr>
        <w:t>2009</w:t>
      </w:r>
      <w:r w:rsidRPr="009644DF">
        <w:rPr>
          <w:rFonts w:asciiTheme="majorHAnsi" w:hAnsiTheme="majorHAnsi"/>
        </w:rPr>
        <w:t xml:space="preserve">: </w:t>
      </w:r>
      <w:r w:rsidRPr="009644DF">
        <w:rPr>
          <w:rFonts w:asciiTheme="majorHAnsi" w:hAnsiTheme="majorHAnsi"/>
          <w:b/>
          <w:i/>
        </w:rPr>
        <w:t>RB (Algeria) v Secretary of State for the Home Department</w:t>
      </w:r>
      <w:r w:rsidRPr="009644DF">
        <w:rPr>
          <w:rFonts w:asciiTheme="majorHAnsi" w:hAnsiTheme="majorHAnsi"/>
          <w:b/>
        </w:rPr>
        <w:t>, [2009] UKHL 10</w:t>
      </w:r>
      <w:r w:rsidRPr="009644DF">
        <w:rPr>
          <w:rFonts w:asciiTheme="majorHAnsi" w:hAnsiTheme="majorHAnsi"/>
        </w:rPr>
        <w:t xml:space="preserve">; Where </w:t>
      </w:r>
      <w:r w:rsidR="00A332EA" w:rsidRPr="009644DF">
        <w:rPr>
          <w:rFonts w:asciiTheme="majorHAnsi" w:hAnsiTheme="majorHAnsi"/>
        </w:rPr>
        <w:t>an</w:t>
      </w:r>
      <w:r w:rsidRPr="009644DF">
        <w:rPr>
          <w:rFonts w:asciiTheme="majorHAnsi" w:hAnsiTheme="majorHAnsi"/>
        </w:rPr>
        <w:t xml:space="preserve"> individual had received </w:t>
      </w:r>
      <w:r w:rsidR="00A332EA" w:rsidRPr="009644DF">
        <w:rPr>
          <w:rFonts w:asciiTheme="majorHAnsi" w:hAnsiTheme="majorHAnsi"/>
        </w:rPr>
        <w:t xml:space="preserve">an </w:t>
      </w:r>
      <w:r w:rsidRPr="009644DF">
        <w:rPr>
          <w:rFonts w:asciiTheme="majorHAnsi" w:hAnsiTheme="majorHAnsi"/>
        </w:rPr>
        <w:t xml:space="preserve">order for deportation and claimed that such action would violate </w:t>
      </w:r>
      <w:r w:rsidR="00A332EA" w:rsidRPr="009644DF">
        <w:rPr>
          <w:rFonts w:asciiTheme="majorHAnsi" w:hAnsiTheme="majorHAnsi"/>
        </w:rPr>
        <w:t>his</w:t>
      </w:r>
      <w:r w:rsidR="009644DF">
        <w:rPr>
          <w:rFonts w:asciiTheme="majorHAnsi" w:hAnsiTheme="majorHAnsi"/>
        </w:rPr>
        <w:t xml:space="preserve"> a</w:t>
      </w:r>
      <w:r w:rsidRPr="009644DF">
        <w:rPr>
          <w:rFonts w:asciiTheme="majorHAnsi" w:hAnsiTheme="majorHAnsi"/>
        </w:rPr>
        <w:t xml:space="preserve">rt. 3 </w:t>
      </w:r>
      <w:r w:rsidR="00A332EA" w:rsidRPr="009644DF">
        <w:rPr>
          <w:rFonts w:asciiTheme="majorHAnsi" w:hAnsiTheme="majorHAnsi"/>
        </w:rPr>
        <w:t xml:space="preserve">and </w:t>
      </w:r>
      <w:r w:rsidR="009644DF">
        <w:rPr>
          <w:rFonts w:asciiTheme="majorHAnsi" w:hAnsiTheme="majorHAnsi"/>
        </w:rPr>
        <w:t>a</w:t>
      </w:r>
      <w:r w:rsidR="00A332EA" w:rsidRPr="009644DF">
        <w:rPr>
          <w:rFonts w:asciiTheme="majorHAnsi" w:hAnsiTheme="majorHAnsi"/>
        </w:rPr>
        <w:t xml:space="preserve">rt. 6 </w:t>
      </w:r>
      <w:r w:rsidRPr="009644DF">
        <w:rPr>
          <w:rFonts w:asciiTheme="majorHAnsi" w:hAnsiTheme="majorHAnsi"/>
        </w:rPr>
        <w:t>rights because there was the risk that they would be tortured by authorities on their return, the Court found that be</w:t>
      </w:r>
      <w:r w:rsidR="009644DF">
        <w:rPr>
          <w:rFonts w:asciiTheme="majorHAnsi" w:hAnsiTheme="majorHAnsi"/>
        </w:rPr>
        <w:t>fore the deportation of a foreign national</w:t>
      </w:r>
      <w:r w:rsidRPr="009644DF">
        <w:rPr>
          <w:rFonts w:asciiTheme="majorHAnsi" w:hAnsiTheme="majorHAnsi"/>
        </w:rPr>
        <w:t xml:space="preserve"> would be capable of violating the ECHR Art. </w:t>
      </w:r>
      <w:r w:rsidR="00A332EA" w:rsidRPr="009644DF">
        <w:rPr>
          <w:rFonts w:asciiTheme="majorHAnsi" w:hAnsiTheme="majorHAnsi"/>
        </w:rPr>
        <w:t>6</w:t>
      </w:r>
      <w:r w:rsidRPr="009644DF">
        <w:rPr>
          <w:rFonts w:asciiTheme="majorHAnsi" w:hAnsiTheme="majorHAnsi"/>
        </w:rPr>
        <w:t>, there must be substantial grounds for believing that there was a real risk that there would be a fundamental breach of his right to a fair trial, and that that breach would lead to a miscarriage of justice that itself constituted a flagrant violation of his fundamental rights</w:t>
      </w:r>
      <w:r w:rsidR="00A332EA" w:rsidRPr="009644DF">
        <w:rPr>
          <w:rFonts w:asciiTheme="majorHAnsi" w:hAnsiTheme="majorHAnsi"/>
        </w:rPr>
        <w:t>.</w:t>
      </w:r>
    </w:p>
    <w:p w14:paraId="3D081B51" w14:textId="77777777" w:rsidR="009644DF" w:rsidRDefault="009644DF" w:rsidP="009644DF">
      <w:pPr>
        <w:spacing w:after="0" w:line="240" w:lineRule="auto"/>
        <w:jc w:val="both"/>
        <w:rPr>
          <w:rFonts w:asciiTheme="majorHAnsi" w:hAnsiTheme="majorHAnsi"/>
          <w:u w:val="single"/>
        </w:rPr>
      </w:pPr>
    </w:p>
    <w:p w14:paraId="56CA0D4E" w14:textId="570E7C1F" w:rsidR="00CA6A25" w:rsidRPr="009644DF" w:rsidRDefault="00985EA6" w:rsidP="009644DF">
      <w:pPr>
        <w:pStyle w:val="ListParagraph"/>
        <w:numPr>
          <w:ilvl w:val="0"/>
          <w:numId w:val="14"/>
        </w:numPr>
        <w:spacing w:after="0" w:line="240" w:lineRule="auto"/>
        <w:jc w:val="both"/>
        <w:rPr>
          <w:rFonts w:asciiTheme="majorHAnsi" w:hAnsiTheme="majorHAnsi"/>
        </w:rPr>
      </w:pPr>
      <w:r w:rsidRPr="009644DF">
        <w:rPr>
          <w:rFonts w:asciiTheme="majorHAnsi" w:hAnsiTheme="majorHAnsi"/>
          <w:u w:val="single"/>
        </w:rPr>
        <w:t>2001</w:t>
      </w:r>
      <w:r w:rsidRPr="009644DF">
        <w:rPr>
          <w:rFonts w:asciiTheme="majorHAnsi" w:hAnsiTheme="majorHAnsi"/>
        </w:rPr>
        <w:t xml:space="preserve">: </w:t>
      </w:r>
      <w:r w:rsidR="006E7A87" w:rsidRPr="009644DF">
        <w:rPr>
          <w:rFonts w:asciiTheme="majorHAnsi" w:hAnsiTheme="majorHAnsi"/>
          <w:b/>
          <w:i/>
        </w:rPr>
        <w:t>R v. H (Assault of Child: Reasonable Chastisement</w:t>
      </w:r>
      <w:r w:rsidR="006E7A87" w:rsidRPr="009644DF">
        <w:rPr>
          <w:rFonts w:asciiTheme="majorHAnsi" w:hAnsiTheme="majorHAnsi"/>
          <w:b/>
        </w:rPr>
        <w:t>), EWCA Crim 1024</w:t>
      </w:r>
      <w:r w:rsidR="002B57FD" w:rsidRPr="009644DF">
        <w:rPr>
          <w:rFonts w:asciiTheme="majorHAnsi" w:hAnsiTheme="majorHAnsi"/>
          <w:b/>
        </w:rPr>
        <w:t>, [2002] 1 Cr. App. R. 7</w:t>
      </w:r>
      <w:r w:rsidR="002B57FD" w:rsidRPr="009644DF">
        <w:rPr>
          <w:rFonts w:asciiTheme="majorHAnsi" w:hAnsiTheme="majorHAnsi"/>
        </w:rPr>
        <w:t>; Where a father’s defence to a charge of assault occasioning bodily harm was one of reasonable chastisement of his son, the jury was d</w:t>
      </w:r>
      <w:r w:rsidR="009644DF">
        <w:rPr>
          <w:rFonts w:asciiTheme="majorHAnsi" w:hAnsiTheme="majorHAnsi"/>
        </w:rPr>
        <w:t>irected in accordance with</w:t>
      </w:r>
      <w:r w:rsidR="002B57FD" w:rsidRPr="009644DF">
        <w:rPr>
          <w:rFonts w:asciiTheme="majorHAnsi" w:hAnsiTheme="majorHAnsi"/>
        </w:rPr>
        <w:t xml:space="preserve"> the common law in light of decisions of the </w:t>
      </w:r>
      <w:proofErr w:type="spellStart"/>
      <w:r w:rsidR="002B57FD" w:rsidRPr="009644DF">
        <w:rPr>
          <w:rFonts w:asciiTheme="majorHAnsi" w:hAnsiTheme="majorHAnsi"/>
        </w:rPr>
        <w:t>ECtHR</w:t>
      </w:r>
      <w:proofErr w:type="spellEnd"/>
      <w:r w:rsidR="002B57FD" w:rsidRPr="009644DF">
        <w:rPr>
          <w:rFonts w:asciiTheme="majorHAnsi" w:hAnsiTheme="majorHAnsi"/>
        </w:rPr>
        <w:t xml:space="preserve"> (precedent indicated that to contravene </w:t>
      </w:r>
      <w:r w:rsidR="009644DF">
        <w:rPr>
          <w:rFonts w:asciiTheme="majorHAnsi" w:hAnsiTheme="majorHAnsi"/>
        </w:rPr>
        <w:t>a</w:t>
      </w:r>
      <w:r w:rsidR="002B57FD" w:rsidRPr="009644DF">
        <w:rPr>
          <w:rFonts w:asciiTheme="majorHAnsi" w:hAnsiTheme="majorHAnsi"/>
        </w:rPr>
        <w:t>rt.</w:t>
      </w:r>
      <w:r w:rsidR="009644DF">
        <w:rPr>
          <w:rFonts w:asciiTheme="majorHAnsi" w:hAnsiTheme="majorHAnsi"/>
        </w:rPr>
        <w:t xml:space="preserve"> </w:t>
      </w:r>
      <w:r w:rsidR="002B57FD" w:rsidRPr="009644DF">
        <w:rPr>
          <w:rFonts w:asciiTheme="majorHAnsi" w:hAnsiTheme="majorHAnsi"/>
        </w:rPr>
        <w:t xml:space="preserve">3, considerations of severity and reasonableness were of relevance. </w:t>
      </w:r>
      <w:proofErr w:type="spellStart"/>
      <w:r w:rsidR="002B57FD" w:rsidRPr="009644DF">
        <w:rPr>
          <w:rFonts w:asciiTheme="majorHAnsi" w:hAnsiTheme="majorHAnsi"/>
          <w:i/>
        </w:rPr>
        <w:t>Tyrer</w:t>
      </w:r>
      <w:proofErr w:type="spellEnd"/>
      <w:r w:rsidR="002B57FD" w:rsidRPr="009644DF">
        <w:rPr>
          <w:rFonts w:asciiTheme="majorHAnsi" w:hAnsiTheme="majorHAnsi"/>
          <w:i/>
        </w:rPr>
        <w:t xml:space="preserve"> v. United Kingdom (1979-80) 2 EHRR 1, Y v United Kingdom (14229/88) (1994) 17 EHRR 238)</w:t>
      </w:r>
      <w:r w:rsidR="002B57FD" w:rsidRPr="009644DF">
        <w:rPr>
          <w:rFonts w:asciiTheme="majorHAnsi" w:hAnsiTheme="majorHAnsi"/>
        </w:rPr>
        <w:t xml:space="preserve">; As a result, the </w:t>
      </w:r>
      <w:r w:rsidR="003E6F82" w:rsidRPr="009644DF">
        <w:rPr>
          <w:rFonts w:asciiTheme="majorHAnsi" w:hAnsiTheme="majorHAnsi"/>
        </w:rPr>
        <w:t>Court of Appeal (Criminal division)</w:t>
      </w:r>
      <w:r w:rsidR="002B57FD" w:rsidRPr="009644DF">
        <w:rPr>
          <w:rFonts w:asciiTheme="majorHAnsi" w:hAnsiTheme="majorHAnsi"/>
        </w:rPr>
        <w:t xml:space="preserve"> found the object of the jury was to achieve a balance between maintaining rights of the boy under Art. 3, the father’s right to a fair trial under Art. </w:t>
      </w:r>
      <w:proofErr w:type="gramStart"/>
      <w:r w:rsidR="002B57FD" w:rsidRPr="009644DF">
        <w:rPr>
          <w:rFonts w:asciiTheme="majorHAnsi" w:hAnsiTheme="majorHAnsi"/>
        </w:rPr>
        <w:t>6,</w:t>
      </w:r>
      <w:proofErr w:type="gramEnd"/>
      <w:r w:rsidR="002B57FD" w:rsidRPr="009644DF">
        <w:rPr>
          <w:rFonts w:asciiTheme="majorHAnsi" w:hAnsiTheme="majorHAnsi"/>
        </w:rPr>
        <w:t xml:space="preserve"> and the father’s right not to be punished for an act that did not constitute a criminal offence under Art.7. </w:t>
      </w:r>
    </w:p>
    <w:p w14:paraId="356F23AE" w14:textId="09C65C1F" w:rsidR="009644DF" w:rsidRDefault="001D28E6" w:rsidP="001F2B26">
      <w:pPr>
        <w:spacing w:after="0" w:line="240" w:lineRule="auto"/>
        <w:jc w:val="both"/>
        <w:rPr>
          <w:rFonts w:asciiTheme="majorHAnsi" w:hAnsiTheme="majorHAnsi"/>
          <w:b/>
        </w:rPr>
      </w:pPr>
      <w:r w:rsidRPr="009644DF">
        <w:rPr>
          <w:rFonts w:asciiTheme="majorHAnsi" w:hAnsiTheme="majorHAnsi"/>
          <w:b/>
        </w:rPr>
        <w:lastRenderedPageBreak/>
        <w:t>Article 4</w:t>
      </w:r>
      <w:r w:rsidR="009644DF">
        <w:rPr>
          <w:rFonts w:asciiTheme="majorHAnsi" w:hAnsiTheme="majorHAnsi"/>
          <w:b/>
        </w:rPr>
        <w:t xml:space="preserve"> – prohibition of slavery and forced labour</w:t>
      </w:r>
    </w:p>
    <w:p w14:paraId="2D6EABED" w14:textId="77777777" w:rsidR="009644DF" w:rsidRDefault="009644DF" w:rsidP="001F2B26">
      <w:pPr>
        <w:spacing w:after="0" w:line="240" w:lineRule="auto"/>
        <w:jc w:val="both"/>
        <w:rPr>
          <w:rFonts w:asciiTheme="majorHAnsi" w:hAnsiTheme="majorHAnsi"/>
          <w:b/>
        </w:rPr>
      </w:pPr>
    </w:p>
    <w:p w14:paraId="68EC005F" w14:textId="77777777" w:rsidR="009644DF" w:rsidRDefault="003E7B2B" w:rsidP="009644DF">
      <w:pPr>
        <w:spacing w:after="0" w:line="240" w:lineRule="auto"/>
        <w:jc w:val="both"/>
        <w:rPr>
          <w:rFonts w:asciiTheme="majorHAnsi" w:hAnsiTheme="majorHAnsi"/>
        </w:rPr>
      </w:pPr>
      <w:r w:rsidRPr="009644DF">
        <w:rPr>
          <w:rFonts w:asciiTheme="majorHAnsi" w:hAnsiTheme="majorHAnsi"/>
        </w:rPr>
        <w:t>Cases which</w:t>
      </w:r>
      <w:r w:rsidR="009644DF">
        <w:rPr>
          <w:rFonts w:asciiTheme="majorHAnsi" w:hAnsiTheme="majorHAnsi"/>
        </w:rPr>
        <w:t xml:space="preserve"> have</w:t>
      </w:r>
      <w:r w:rsidRPr="009644DF">
        <w:rPr>
          <w:rFonts w:asciiTheme="majorHAnsi" w:hAnsiTheme="majorHAnsi"/>
        </w:rPr>
        <w:t xml:space="preserve"> improved victims</w:t>
      </w:r>
      <w:r w:rsidR="009644DF">
        <w:rPr>
          <w:rFonts w:asciiTheme="majorHAnsi" w:hAnsiTheme="majorHAnsi"/>
        </w:rPr>
        <w:t>’</w:t>
      </w:r>
      <w:r w:rsidRPr="009644DF">
        <w:rPr>
          <w:rFonts w:asciiTheme="majorHAnsi" w:hAnsiTheme="majorHAnsi"/>
        </w:rPr>
        <w:t xml:space="preserve"> </w:t>
      </w:r>
      <w:r w:rsidR="009644DF">
        <w:rPr>
          <w:rFonts w:asciiTheme="majorHAnsi" w:hAnsiTheme="majorHAnsi"/>
        </w:rPr>
        <w:t>rights:</w:t>
      </w:r>
    </w:p>
    <w:p w14:paraId="1DFE4142" w14:textId="40D72AF5" w:rsidR="008640F4" w:rsidRPr="009644DF" w:rsidRDefault="003E7B2B" w:rsidP="009644DF">
      <w:pPr>
        <w:spacing w:after="0" w:line="240" w:lineRule="auto"/>
        <w:jc w:val="both"/>
        <w:rPr>
          <w:rFonts w:asciiTheme="majorHAnsi" w:hAnsiTheme="majorHAnsi"/>
        </w:rPr>
      </w:pPr>
      <w:r w:rsidRPr="009644DF">
        <w:rPr>
          <w:rFonts w:asciiTheme="majorHAnsi" w:hAnsiTheme="majorHAnsi"/>
        </w:rPr>
        <w:t xml:space="preserve"> </w:t>
      </w:r>
    </w:p>
    <w:p w14:paraId="11ED2EB1" w14:textId="5505ED16" w:rsidR="008640F4" w:rsidRDefault="008640F4" w:rsidP="009644DF">
      <w:pPr>
        <w:pStyle w:val="ListParagraph"/>
        <w:numPr>
          <w:ilvl w:val="0"/>
          <w:numId w:val="16"/>
        </w:numPr>
        <w:spacing w:after="0" w:line="240" w:lineRule="auto"/>
        <w:jc w:val="both"/>
        <w:rPr>
          <w:rFonts w:asciiTheme="majorHAnsi" w:hAnsiTheme="majorHAnsi"/>
        </w:rPr>
      </w:pPr>
      <w:r w:rsidRPr="009644DF">
        <w:rPr>
          <w:rFonts w:asciiTheme="majorHAnsi" w:hAnsiTheme="majorHAnsi"/>
          <w:u w:val="single"/>
        </w:rPr>
        <w:t>2012</w:t>
      </w:r>
      <w:r w:rsidRPr="009644DF">
        <w:rPr>
          <w:rFonts w:asciiTheme="majorHAnsi" w:hAnsiTheme="majorHAnsi"/>
        </w:rPr>
        <w:t xml:space="preserve">: </w:t>
      </w:r>
      <w:r w:rsidRPr="009644DF">
        <w:rPr>
          <w:rFonts w:asciiTheme="majorHAnsi" w:hAnsiTheme="majorHAnsi"/>
          <w:b/>
          <w:i/>
        </w:rPr>
        <w:t>C.N. v. UK</w:t>
      </w:r>
      <w:r w:rsidR="005B7716" w:rsidRPr="009644DF">
        <w:rPr>
          <w:rFonts w:asciiTheme="majorHAnsi" w:hAnsiTheme="majorHAnsi"/>
          <w:b/>
        </w:rPr>
        <w:t>, (2012) 56 EHRR 869</w:t>
      </w:r>
      <w:r w:rsidR="005B7716" w:rsidRPr="009644DF">
        <w:rPr>
          <w:rFonts w:asciiTheme="majorHAnsi" w:hAnsiTheme="majorHAnsi"/>
        </w:rPr>
        <w:t>; Where a Ugandan woman who immigrated to the UK to escape sexual and physical violence was held in domestic servitude upon arrival and was denied asylum and police investigation, the Strasbourg Court found a violation of Art.4 and held there is a procedural duty on the part of the States to investigate ‘where there is a credibl</w:t>
      </w:r>
      <w:r w:rsidR="009644DF">
        <w:rPr>
          <w:rFonts w:asciiTheme="majorHAnsi" w:hAnsiTheme="majorHAnsi"/>
        </w:rPr>
        <w:t>e</w:t>
      </w:r>
      <w:r w:rsidR="005B7716" w:rsidRPr="009644DF">
        <w:rPr>
          <w:rFonts w:asciiTheme="majorHAnsi" w:hAnsiTheme="majorHAnsi"/>
        </w:rPr>
        <w:t xml:space="preserve"> suspicion that an individual’s rights under that Article have been violated.’ </w:t>
      </w:r>
    </w:p>
    <w:p w14:paraId="3EE14C75" w14:textId="77777777" w:rsidR="009644DF" w:rsidRPr="009644DF" w:rsidRDefault="009644DF" w:rsidP="009644DF">
      <w:pPr>
        <w:pStyle w:val="ListParagraph"/>
        <w:numPr>
          <w:ilvl w:val="0"/>
          <w:numId w:val="16"/>
        </w:numPr>
        <w:spacing w:after="0" w:line="240" w:lineRule="auto"/>
        <w:jc w:val="both"/>
        <w:rPr>
          <w:rFonts w:asciiTheme="majorHAnsi" w:hAnsiTheme="majorHAnsi"/>
        </w:rPr>
      </w:pPr>
      <w:r w:rsidRPr="009644DF">
        <w:rPr>
          <w:rFonts w:asciiTheme="majorHAnsi" w:hAnsiTheme="majorHAnsi"/>
          <w:u w:val="single"/>
        </w:rPr>
        <w:t>2011</w:t>
      </w:r>
      <w:r w:rsidRPr="009644DF">
        <w:rPr>
          <w:rFonts w:asciiTheme="majorHAnsi" w:hAnsiTheme="majorHAnsi"/>
        </w:rPr>
        <w:t xml:space="preserve">: See </w:t>
      </w:r>
      <w:r w:rsidRPr="009644DF">
        <w:rPr>
          <w:rFonts w:asciiTheme="majorHAnsi" w:hAnsiTheme="majorHAnsi"/>
          <w:b/>
          <w:i/>
        </w:rPr>
        <w:t>OOO and others v. the Metropolitan Police</w:t>
      </w:r>
      <w:r w:rsidRPr="009644DF">
        <w:rPr>
          <w:rFonts w:asciiTheme="majorHAnsi" w:hAnsiTheme="majorHAnsi"/>
          <w:b/>
        </w:rPr>
        <w:t>, [2011] EWHC 1246 (QB)</w:t>
      </w:r>
      <w:r w:rsidRPr="009644DF">
        <w:rPr>
          <w:rFonts w:asciiTheme="majorHAnsi" w:hAnsiTheme="majorHAnsi"/>
        </w:rPr>
        <w:t xml:space="preserve"> in ‘Article 3’ section above</w:t>
      </w:r>
    </w:p>
    <w:p w14:paraId="2111E0D2" w14:textId="77777777" w:rsidR="009644DF" w:rsidRDefault="009644DF" w:rsidP="009644DF">
      <w:pPr>
        <w:spacing w:after="0" w:line="240" w:lineRule="auto"/>
        <w:jc w:val="both"/>
        <w:rPr>
          <w:rFonts w:asciiTheme="majorHAnsi" w:hAnsiTheme="majorHAnsi"/>
        </w:rPr>
      </w:pPr>
    </w:p>
    <w:p w14:paraId="5324E92F" w14:textId="77777777" w:rsidR="008640F4" w:rsidRDefault="008640F4" w:rsidP="009644DF">
      <w:pPr>
        <w:spacing w:after="0" w:line="240" w:lineRule="auto"/>
        <w:jc w:val="both"/>
        <w:rPr>
          <w:rFonts w:asciiTheme="majorHAnsi" w:hAnsiTheme="majorHAnsi"/>
        </w:rPr>
      </w:pPr>
      <w:r w:rsidRPr="009644DF">
        <w:rPr>
          <w:rFonts w:asciiTheme="majorHAnsi" w:hAnsiTheme="majorHAnsi"/>
        </w:rPr>
        <w:t>Cases which improved due process for accused individuals:</w:t>
      </w:r>
    </w:p>
    <w:p w14:paraId="5F65425A" w14:textId="77777777" w:rsidR="009644DF" w:rsidRPr="009644DF" w:rsidRDefault="009644DF" w:rsidP="009644DF">
      <w:pPr>
        <w:spacing w:after="0" w:line="240" w:lineRule="auto"/>
        <w:jc w:val="both"/>
        <w:rPr>
          <w:rFonts w:asciiTheme="majorHAnsi" w:hAnsiTheme="majorHAnsi"/>
        </w:rPr>
      </w:pPr>
    </w:p>
    <w:p w14:paraId="4A128258" w14:textId="75A21E03" w:rsidR="008640F4" w:rsidRDefault="008640F4" w:rsidP="009644DF">
      <w:pPr>
        <w:pStyle w:val="ListParagraph"/>
        <w:numPr>
          <w:ilvl w:val="0"/>
          <w:numId w:val="17"/>
        </w:numPr>
        <w:spacing w:after="0" w:line="240" w:lineRule="auto"/>
        <w:jc w:val="both"/>
        <w:rPr>
          <w:rFonts w:asciiTheme="majorHAnsi" w:hAnsiTheme="majorHAnsi"/>
        </w:rPr>
      </w:pPr>
      <w:r w:rsidRPr="009644DF">
        <w:rPr>
          <w:rFonts w:asciiTheme="majorHAnsi" w:hAnsiTheme="majorHAnsi"/>
          <w:u w:val="single"/>
        </w:rPr>
        <w:t>2013</w:t>
      </w:r>
      <w:r w:rsidRPr="009644DF">
        <w:rPr>
          <w:rFonts w:asciiTheme="majorHAnsi" w:hAnsiTheme="majorHAnsi"/>
        </w:rPr>
        <w:t xml:space="preserve">: </w:t>
      </w:r>
      <w:r w:rsidR="006A742B" w:rsidRPr="009644DF">
        <w:rPr>
          <w:rFonts w:asciiTheme="majorHAnsi" w:hAnsiTheme="majorHAnsi"/>
          <w:b/>
          <w:i/>
        </w:rPr>
        <w:t xml:space="preserve">R v L, </w:t>
      </w:r>
      <w:r w:rsidR="006A742B" w:rsidRPr="009644DF">
        <w:rPr>
          <w:rFonts w:asciiTheme="majorHAnsi" w:hAnsiTheme="majorHAnsi"/>
          <w:b/>
        </w:rPr>
        <w:t xml:space="preserve">[2013] EWCA Crim 991 (CA (Crim </w:t>
      </w:r>
      <w:proofErr w:type="spellStart"/>
      <w:r w:rsidR="006A742B" w:rsidRPr="009644DF">
        <w:rPr>
          <w:rFonts w:asciiTheme="majorHAnsi" w:hAnsiTheme="majorHAnsi"/>
          <w:b/>
        </w:rPr>
        <w:t>Div</w:t>
      </w:r>
      <w:proofErr w:type="spellEnd"/>
      <w:r w:rsidR="006A742B" w:rsidRPr="009644DF">
        <w:rPr>
          <w:rFonts w:asciiTheme="majorHAnsi" w:hAnsiTheme="majorHAnsi"/>
          <w:b/>
        </w:rPr>
        <w:t>))</w:t>
      </w:r>
      <w:r w:rsidR="006A742B" w:rsidRPr="009644DF">
        <w:rPr>
          <w:rFonts w:asciiTheme="majorHAnsi" w:hAnsiTheme="majorHAnsi"/>
        </w:rPr>
        <w:t xml:space="preserve">; </w:t>
      </w:r>
      <w:r w:rsidR="00B32F99" w:rsidRPr="009644DF">
        <w:rPr>
          <w:rFonts w:asciiTheme="majorHAnsi" w:hAnsiTheme="majorHAnsi"/>
        </w:rPr>
        <w:t xml:space="preserve">Where four unconnected individuals, who, at different stages after conviction, had been found to be victims of trafficking in human beings and to have been coerced to commit their offences, some of which included cultivation of cannabis and prostitution, the Court of Appeal gave guidance to future courts to consider trafficking issues </w:t>
      </w:r>
      <w:r w:rsidR="009644DF">
        <w:rPr>
          <w:rFonts w:asciiTheme="majorHAnsi" w:hAnsiTheme="majorHAnsi"/>
        </w:rPr>
        <w:t>before conviction</w:t>
      </w:r>
      <w:r w:rsidR="003B0875" w:rsidRPr="009644DF">
        <w:rPr>
          <w:rFonts w:asciiTheme="majorHAnsi" w:hAnsiTheme="majorHAnsi"/>
        </w:rPr>
        <w:t>.</w:t>
      </w:r>
    </w:p>
    <w:p w14:paraId="650E39B5" w14:textId="77777777" w:rsidR="009644DF" w:rsidRPr="009644DF" w:rsidRDefault="009644DF" w:rsidP="009644DF">
      <w:pPr>
        <w:spacing w:after="0" w:line="240" w:lineRule="auto"/>
        <w:ind w:left="360"/>
        <w:jc w:val="both"/>
        <w:rPr>
          <w:rFonts w:asciiTheme="majorHAnsi" w:hAnsiTheme="majorHAnsi"/>
        </w:rPr>
      </w:pPr>
    </w:p>
    <w:p w14:paraId="57EAD076" w14:textId="3296F03D" w:rsidR="009644DF" w:rsidRDefault="00EC1A9F" w:rsidP="001F2B26">
      <w:pPr>
        <w:spacing w:after="0" w:line="240" w:lineRule="auto"/>
        <w:jc w:val="both"/>
        <w:rPr>
          <w:rFonts w:asciiTheme="majorHAnsi" w:hAnsiTheme="majorHAnsi"/>
          <w:b/>
        </w:rPr>
      </w:pPr>
      <w:r w:rsidRPr="009644DF">
        <w:rPr>
          <w:rFonts w:asciiTheme="majorHAnsi" w:hAnsiTheme="majorHAnsi"/>
          <w:b/>
        </w:rPr>
        <w:t>Article 5</w:t>
      </w:r>
      <w:r w:rsidR="009644DF">
        <w:rPr>
          <w:rFonts w:asciiTheme="majorHAnsi" w:hAnsiTheme="majorHAnsi"/>
          <w:b/>
        </w:rPr>
        <w:t xml:space="preserve"> – right to liberty and security</w:t>
      </w:r>
    </w:p>
    <w:p w14:paraId="64BC9B19" w14:textId="77777777" w:rsidR="009644DF" w:rsidRDefault="009644DF" w:rsidP="001F2B26">
      <w:pPr>
        <w:spacing w:after="0" w:line="240" w:lineRule="auto"/>
        <w:jc w:val="both"/>
        <w:rPr>
          <w:rFonts w:asciiTheme="majorHAnsi" w:hAnsiTheme="majorHAnsi"/>
          <w:b/>
        </w:rPr>
      </w:pPr>
    </w:p>
    <w:p w14:paraId="638B2C0D" w14:textId="12E12955" w:rsidR="009644DF" w:rsidRDefault="009644DF" w:rsidP="001F2B26">
      <w:pPr>
        <w:spacing w:after="0" w:line="240" w:lineRule="auto"/>
        <w:jc w:val="both"/>
        <w:rPr>
          <w:rFonts w:asciiTheme="majorHAnsi" w:hAnsiTheme="majorHAnsi"/>
        </w:rPr>
      </w:pPr>
      <w:r>
        <w:rPr>
          <w:rFonts w:asciiTheme="majorHAnsi" w:hAnsiTheme="majorHAnsi"/>
        </w:rPr>
        <w:t>Cases which have improved suspects and detained people’s rights:</w:t>
      </w:r>
    </w:p>
    <w:p w14:paraId="7823DCF9" w14:textId="77777777" w:rsidR="009644DF" w:rsidRPr="009644DF" w:rsidRDefault="009644DF" w:rsidP="001F2B26">
      <w:pPr>
        <w:spacing w:after="0" w:line="240" w:lineRule="auto"/>
        <w:jc w:val="both"/>
        <w:rPr>
          <w:rFonts w:asciiTheme="majorHAnsi" w:hAnsiTheme="majorHAnsi"/>
        </w:rPr>
      </w:pPr>
    </w:p>
    <w:p w14:paraId="51FBFE35" w14:textId="146BF1C3" w:rsidR="007173DB" w:rsidRDefault="007173DB" w:rsidP="007173DB">
      <w:pPr>
        <w:pStyle w:val="ListParagraph"/>
        <w:numPr>
          <w:ilvl w:val="0"/>
          <w:numId w:val="3"/>
        </w:numPr>
        <w:spacing w:after="0" w:line="240" w:lineRule="auto"/>
        <w:jc w:val="both"/>
        <w:rPr>
          <w:rFonts w:asciiTheme="majorHAnsi" w:hAnsiTheme="majorHAnsi"/>
        </w:rPr>
      </w:pPr>
      <w:r w:rsidRPr="001F2B26">
        <w:rPr>
          <w:rFonts w:asciiTheme="majorHAnsi" w:hAnsiTheme="majorHAnsi"/>
          <w:u w:val="single"/>
        </w:rPr>
        <w:t>2012</w:t>
      </w:r>
      <w:r w:rsidRPr="001F2B26">
        <w:rPr>
          <w:rFonts w:asciiTheme="majorHAnsi" w:hAnsiTheme="majorHAnsi"/>
        </w:rPr>
        <w:t xml:space="preserve">: </w:t>
      </w:r>
      <w:r w:rsidRPr="001F2B26">
        <w:rPr>
          <w:rFonts w:asciiTheme="majorHAnsi" w:hAnsiTheme="majorHAnsi"/>
          <w:b/>
          <w:i/>
        </w:rPr>
        <w:t>James v. UK (25119/09), (2013) 56 EHRR 12, 33 BHRC 617</w:t>
      </w:r>
      <w:r w:rsidRPr="001F2B26">
        <w:rPr>
          <w:rFonts w:asciiTheme="majorHAnsi" w:hAnsiTheme="majorHAnsi"/>
        </w:rPr>
        <w:t xml:space="preserve">; The Strasbourg Court found that a prisoner’s continued detention beyond the expiry of his minimum term of sentence of </w:t>
      </w:r>
      <w:r>
        <w:rPr>
          <w:rFonts w:asciiTheme="majorHAnsi" w:hAnsiTheme="majorHAnsi"/>
        </w:rPr>
        <w:t xml:space="preserve">indeterminate </w:t>
      </w:r>
      <w:r w:rsidRPr="001F2B26">
        <w:rPr>
          <w:rFonts w:asciiTheme="majorHAnsi" w:hAnsiTheme="majorHAnsi"/>
        </w:rPr>
        <w:t>imprisonment on the basis of public protection</w:t>
      </w:r>
      <w:r>
        <w:rPr>
          <w:rFonts w:asciiTheme="majorHAnsi" w:hAnsiTheme="majorHAnsi"/>
        </w:rPr>
        <w:t xml:space="preserve"> (IPP)</w:t>
      </w:r>
      <w:r w:rsidRPr="001F2B26">
        <w:rPr>
          <w:rFonts w:asciiTheme="majorHAnsi" w:hAnsiTheme="majorHAnsi"/>
        </w:rPr>
        <w:t xml:space="preserve"> without access to any rehabilitative courses violated Article 5; The House of Lords had dismissed his appeal prior to his appeal to Strasbourg, finding no violations of </w:t>
      </w:r>
      <w:proofErr w:type="gramStart"/>
      <w:r w:rsidRPr="001F2B26">
        <w:rPr>
          <w:rFonts w:asciiTheme="majorHAnsi" w:hAnsiTheme="majorHAnsi"/>
        </w:rPr>
        <w:t>Art.5(</w:t>
      </w:r>
      <w:proofErr w:type="gramEnd"/>
      <w:r w:rsidRPr="001F2B26">
        <w:rPr>
          <w:rFonts w:asciiTheme="majorHAnsi" w:hAnsiTheme="majorHAnsi"/>
        </w:rPr>
        <w:t>1) or Art.5(4)</w:t>
      </w:r>
      <w:r>
        <w:rPr>
          <w:rFonts w:asciiTheme="majorHAnsi" w:hAnsiTheme="majorHAnsi"/>
        </w:rPr>
        <w:t>.</w:t>
      </w:r>
    </w:p>
    <w:p w14:paraId="2B6FD3BE" w14:textId="77777777" w:rsidR="007173DB" w:rsidRPr="001F2B26" w:rsidRDefault="007173DB" w:rsidP="007173DB">
      <w:pPr>
        <w:pStyle w:val="ListParagraph"/>
        <w:spacing w:after="0" w:line="240" w:lineRule="auto"/>
        <w:jc w:val="both"/>
        <w:rPr>
          <w:rFonts w:asciiTheme="majorHAnsi" w:hAnsiTheme="majorHAnsi"/>
        </w:rPr>
      </w:pPr>
    </w:p>
    <w:p w14:paraId="1B0B18B2" w14:textId="2582F14D" w:rsidR="00A45D07" w:rsidRPr="007173DB" w:rsidRDefault="00A45D07" w:rsidP="001F2B26">
      <w:pPr>
        <w:pStyle w:val="ListParagraph"/>
        <w:numPr>
          <w:ilvl w:val="0"/>
          <w:numId w:val="3"/>
        </w:numPr>
        <w:spacing w:after="0" w:line="240" w:lineRule="auto"/>
        <w:jc w:val="both"/>
        <w:rPr>
          <w:rFonts w:asciiTheme="majorHAnsi" w:hAnsiTheme="majorHAnsi"/>
        </w:rPr>
      </w:pPr>
      <w:r w:rsidRPr="001F2B26">
        <w:rPr>
          <w:rFonts w:asciiTheme="majorHAnsi" w:hAnsiTheme="majorHAnsi"/>
          <w:u w:val="single"/>
        </w:rPr>
        <w:t>2011</w:t>
      </w:r>
      <w:r w:rsidRPr="001F2B26">
        <w:rPr>
          <w:rFonts w:asciiTheme="majorHAnsi" w:hAnsiTheme="majorHAnsi"/>
        </w:rPr>
        <w:t xml:space="preserve">: </w:t>
      </w:r>
      <w:r w:rsidRPr="001F2B26">
        <w:rPr>
          <w:rFonts w:asciiTheme="majorHAnsi" w:hAnsiTheme="majorHAnsi"/>
          <w:b/>
          <w:i/>
        </w:rPr>
        <w:t>Al-</w:t>
      </w:r>
      <w:proofErr w:type="spellStart"/>
      <w:r w:rsidRPr="001F2B26">
        <w:rPr>
          <w:rFonts w:asciiTheme="majorHAnsi" w:hAnsiTheme="majorHAnsi"/>
          <w:b/>
          <w:i/>
        </w:rPr>
        <w:t>Jedda</w:t>
      </w:r>
      <w:proofErr w:type="spellEnd"/>
      <w:r w:rsidR="00803D93" w:rsidRPr="001F2B26">
        <w:rPr>
          <w:rFonts w:asciiTheme="majorHAnsi" w:hAnsiTheme="majorHAnsi"/>
          <w:b/>
          <w:i/>
        </w:rPr>
        <w:t xml:space="preserve"> v. the United Kingdom, </w:t>
      </w:r>
      <w:r w:rsidR="00637C20" w:rsidRPr="001F2B26">
        <w:rPr>
          <w:rFonts w:asciiTheme="majorHAnsi" w:hAnsiTheme="majorHAnsi"/>
          <w:b/>
        </w:rPr>
        <w:t>(27021/08)</w:t>
      </w:r>
      <w:r w:rsidR="00743A15" w:rsidRPr="001F2B26">
        <w:rPr>
          <w:rFonts w:asciiTheme="majorHAnsi" w:hAnsiTheme="majorHAnsi"/>
        </w:rPr>
        <w:t xml:space="preserve">; </w:t>
      </w:r>
      <w:r w:rsidR="007173DB">
        <w:rPr>
          <w:rFonts w:asciiTheme="majorHAnsi" w:hAnsiTheme="majorHAnsi"/>
        </w:rPr>
        <w:t>Where a</w:t>
      </w:r>
      <w:r w:rsidR="00637C20" w:rsidRPr="001F2B26">
        <w:rPr>
          <w:rFonts w:asciiTheme="majorHAnsi" w:hAnsiTheme="majorHAnsi"/>
        </w:rPr>
        <w:t xml:space="preserve">n individual who travelled from the UK and Iraq, and was subsequently imprisoned by British military forces without charge on the grounds of his suspected membership of a terrorist group, the </w:t>
      </w:r>
      <w:proofErr w:type="spellStart"/>
      <w:r w:rsidR="00637C20" w:rsidRPr="001F2B26">
        <w:rPr>
          <w:rFonts w:asciiTheme="majorHAnsi" w:hAnsiTheme="majorHAnsi"/>
        </w:rPr>
        <w:t>ECtHR</w:t>
      </w:r>
      <w:proofErr w:type="spellEnd"/>
      <w:r w:rsidR="00637C20" w:rsidRPr="001F2B26">
        <w:rPr>
          <w:rFonts w:asciiTheme="majorHAnsi" w:hAnsiTheme="majorHAnsi"/>
        </w:rPr>
        <w:t xml:space="preserve"> deemed his internment to be a violation of his rights und</w:t>
      </w:r>
      <w:r w:rsidR="007173DB">
        <w:rPr>
          <w:rFonts w:asciiTheme="majorHAnsi" w:hAnsiTheme="majorHAnsi"/>
        </w:rPr>
        <w:t>er Art 5(1). The contention had previously been</w:t>
      </w:r>
      <w:r w:rsidR="00637C20" w:rsidRPr="001F2B26">
        <w:rPr>
          <w:rFonts w:asciiTheme="majorHAnsi" w:hAnsiTheme="majorHAnsi"/>
        </w:rPr>
        <w:t xml:space="preserve"> rejected </w:t>
      </w:r>
      <w:r w:rsidR="007173DB">
        <w:rPr>
          <w:rFonts w:asciiTheme="majorHAnsi" w:hAnsiTheme="majorHAnsi"/>
        </w:rPr>
        <w:t xml:space="preserve">by the UK courts </w:t>
      </w:r>
      <w:r w:rsidR="005F7444" w:rsidRPr="001F2B26">
        <w:rPr>
          <w:rFonts w:asciiTheme="majorHAnsi" w:hAnsiTheme="majorHAnsi"/>
        </w:rPr>
        <w:t>(</w:t>
      </w:r>
      <w:r w:rsidR="005F7444" w:rsidRPr="001F2B26">
        <w:rPr>
          <w:rFonts w:asciiTheme="majorHAnsi" w:hAnsiTheme="majorHAnsi"/>
          <w:i/>
        </w:rPr>
        <w:t>R (Al-</w:t>
      </w:r>
      <w:proofErr w:type="spellStart"/>
      <w:r w:rsidR="005F7444" w:rsidRPr="001F2B26">
        <w:rPr>
          <w:rFonts w:asciiTheme="majorHAnsi" w:hAnsiTheme="majorHAnsi"/>
          <w:i/>
        </w:rPr>
        <w:t>Jedda</w:t>
      </w:r>
      <w:proofErr w:type="spellEnd"/>
      <w:r w:rsidR="005F7444" w:rsidRPr="001F2B26">
        <w:rPr>
          <w:rFonts w:asciiTheme="majorHAnsi" w:hAnsiTheme="majorHAnsi"/>
          <w:i/>
        </w:rPr>
        <w:t xml:space="preserve">) v Secretary of State for Defence (JUSTICE Intervening) [2007 UKHL 58, [2008] 1 AC 332). </w:t>
      </w:r>
    </w:p>
    <w:p w14:paraId="316C2AE8" w14:textId="77777777" w:rsidR="007173DB" w:rsidRPr="007173DB" w:rsidRDefault="007173DB" w:rsidP="007173DB">
      <w:pPr>
        <w:pStyle w:val="ListParagraph"/>
        <w:rPr>
          <w:rFonts w:asciiTheme="majorHAnsi" w:hAnsiTheme="majorHAnsi"/>
        </w:rPr>
      </w:pPr>
    </w:p>
    <w:p w14:paraId="38214912" w14:textId="3CDB5A01" w:rsidR="007173DB" w:rsidRDefault="007173DB" w:rsidP="007173DB">
      <w:pPr>
        <w:pStyle w:val="ListParagraph"/>
        <w:numPr>
          <w:ilvl w:val="0"/>
          <w:numId w:val="3"/>
        </w:numPr>
        <w:spacing w:after="0" w:line="240" w:lineRule="auto"/>
        <w:jc w:val="both"/>
        <w:rPr>
          <w:rFonts w:asciiTheme="majorHAnsi" w:hAnsiTheme="majorHAnsi"/>
        </w:rPr>
      </w:pPr>
      <w:r w:rsidRPr="001F2B26">
        <w:rPr>
          <w:rFonts w:asciiTheme="majorHAnsi" w:hAnsiTheme="majorHAnsi"/>
          <w:u w:val="single"/>
        </w:rPr>
        <w:t>200</w:t>
      </w:r>
      <w:r>
        <w:rPr>
          <w:rFonts w:asciiTheme="majorHAnsi" w:hAnsiTheme="majorHAnsi"/>
          <w:u w:val="single"/>
        </w:rPr>
        <w:t>4</w:t>
      </w:r>
      <w:r w:rsidRPr="001F2B26">
        <w:rPr>
          <w:rFonts w:asciiTheme="majorHAnsi" w:hAnsiTheme="majorHAnsi"/>
        </w:rPr>
        <w:t xml:space="preserve">: </w:t>
      </w:r>
      <w:r w:rsidRPr="001F2B26">
        <w:rPr>
          <w:rFonts w:asciiTheme="majorHAnsi" w:hAnsiTheme="majorHAnsi"/>
          <w:b/>
          <w:i/>
        </w:rPr>
        <w:t>A v. Secretary of State for the Home Department</w:t>
      </w:r>
      <w:r w:rsidRPr="001F2B26">
        <w:rPr>
          <w:rFonts w:asciiTheme="majorHAnsi" w:hAnsiTheme="majorHAnsi"/>
          <w:b/>
        </w:rPr>
        <w:t>, [2004] UKHL 56</w:t>
      </w:r>
      <w:r w:rsidRPr="001F2B26">
        <w:rPr>
          <w:rFonts w:asciiTheme="majorHAnsi" w:hAnsiTheme="majorHAnsi"/>
        </w:rPr>
        <w:t>; Where foreign nation</w:t>
      </w:r>
      <w:r>
        <w:rPr>
          <w:rFonts w:asciiTheme="majorHAnsi" w:hAnsiTheme="majorHAnsi"/>
        </w:rPr>
        <w:t>als were</w:t>
      </w:r>
      <w:r w:rsidRPr="001F2B26">
        <w:rPr>
          <w:rFonts w:asciiTheme="majorHAnsi" w:hAnsiTheme="majorHAnsi"/>
        </w:rPr>
        <w:t xml:space="preserve"> suspected of terrorist </w:t>
      </w:r>
      <w:r>
        <w:rPr>
          <w:rFonts w:asciiTheme="majorHAnsi" w:hAnsiTheme="majorHAnsi"/>
        </w:rPr>
        <w:t>activity</w:t>
      </w:r>
      <w:r w:rsidRPr="001F2B26">
        <w:rPr>
          <w:rFonts w:asciiTheme="majorHAnsi" w:hAnsiTheme="majorHAnsi"/>
        </w:rPr>
        <w:t xml:space="preserve"> after 9/11 (who were at risk of torture if they were to be deported and thus protected by Art.3), the House of Lords held that the Anti-terrorism, Crime and Security Act 2001 was incompatible with the HRA insofar as it was disproportionate and permitted detention of suspected terrorists in ways that was discriminatory. The </w:t>
      </w:r>
      <w:proofErr w:type="spellStart"/>
      <w:r w:rsidRPr="001F2B26">
        <w:rPr>
          <w:rFonts w:asciiTheme="majorHAnsi" w:hAnsiTheme="majorHAnsi"/>
        </w:rPr>
        <w:t>ECtH</w:t>
      </w:r>
      <w:r>
        <w:rPr>
          <w:rFonts w:asciiTheme="majorHAnsi" w:hAnsiTheme="majorHAnsi"/>
        </w:rPr>
        <w:t>R</w:t>
      </w:r>
      <w:proofErr w:type="spellEnd"/>
      <w:r w:rsidRPr="001F2B26">
        <w:rPr>
          <w:rFonts w:asciiTheme="majorHAnsi" w:hAnsiTheme="majorHAnsi"/>
        </w:rPr>
        <w:t xml:space="preserve"> </w:t>
      </w:r>
      <w:r>
        <w:rPr>
          <w:rFonts w:asciiTheme="majorHAnsi" w:hAnsiTheme="majorHAnsi"/>
        </w:rPr>
        <w:t>had previously held</w:t>
      </w:r>
      <w:r w:rsidRPr="001F2B26">
        <w:rPr>
          <w:rFonts w:asciiTheme="majorHAnsi" w:hAnsiTheme="majorHAnsi"/>
        </w:rPr>
        <w:t xml:space="preserve"> </w:t>
      </w:r>
      <w:r>
        <w:rPr>
          <w:rFonts w:asciiTheme="majorHAnsi" w:hAnsiTheme="majorHAnsi"/>
        </w:rPr>
        <w:t xml:space="preserve">(in </w:t>
      </w:r>
      <w:r w:rsidRPr="001F2B26">
        <w:rPr>
          <w:rFonts w:asciiTheme="majorHAnsi" w:hAnsiTheme="majorHAnsi"/>
          <w:b/>
          <w:i/>
        </w:rPr>
        <w:t xml:space="preserve">A &amp; </w:t>
      </w:r>
      <w:proofErr w:type="spellStart"/>
      <w:r w:rsidRPr="001F2B26">
        <w:rPr>
          <w:rFonts w:asciiTheme="majorHAnsi" w:hAnsiTheme="majorHAnsi"/>
          <w:b/>
          <w:i/>
        </w:rPr>
        <w:t>Ors</w:t>
      </w:r>
      <w:proofErr w:type="spellEnd"/>
      <w:r w:rsidRPr="001F2B26">
        <w:rPr>
          <w:rFonts w:asciiTheme="majorHAnsi" w:hAnsiTheme="majorHAnsi"/>
          <w:b/>
          <w:i/>
        </w:rPr>
        <w:t xml:space="preserve"> v United Kingdom</w:t>
      </w:r>
      <w:r w:rsidRPr="001F2B26">
        <w:rPr>
          <w:rFonts w:asciiTheme="majorHAnsi" w:hAnsiTheme="majorHAnsi"/>
          <w:b/>
        </w:rPr>
        <w:t>, (3455/05)</w:t>
      </w:r>
      <w:r>
        <w:rPr>
          <w:rFonts w:asciiTheme="majorHAnsi" w:hAnsiTheme="majorHAnsi"/>
        </w:rPr>
        <w:t>)</w:t>
      </w:r>
      <w:r>
        <w:rPr>
          <w:rFonts w:asciiTheme="majorHAnsi" w:hAnsiTheme="majorHAnsi"/>
          <w:b/>
        </w:rPr>
        <w:t xml:space="preserve"> </w:t>
      </w:r>
      <w:r w:rsidRPr="001F2B26">
        <w:rPr>
          <w:rFonts w:asciiTheme="majorHAnsi" w:hAnsiTheme="majorHAnsi"/>
        </w:rPr>
        <w:t>that the severe and indefinite movement restrictions amounted to a detention which was not applied to nation</w:t>
      </w:r>
      <w:r>
        <w:rPr>
          <w:rFonts w:asciiTheme="majorHAnsi" w:hAnsiTheme="majorHAnsi"/>
        </w:rPr>
        <w:t>al</w:t>
      </w:r>
      <w:r w:rsidRPr="001F2B26">
        <w:rPr>
          <w:rFonts w:asciiTheme="majorHAnsi" w:hAnsiTheme="majorHAnsi"/>
        </w:rPr>
        <w:t xml:space="preserve">s and was unlawfully discriminatory. </w:t>
      </w:r>
    </w:p>
    <w:p w14:paraId="57D7780F" w14:textId="77777777" w:rsidR="00B7565C" w:rsidRPr="00B7565C" w:rsidRDefault="00B7565C" w:rsidP="00B7565C">
      <w:pPr>
        <w:pStyle w:val="ListParagraph"/>
        <w:rPr>
          <w:rFonts w:asciiTheme="majorHAnsi" w:hAnsiTheme="majorHAnsi"/>
        </w:rPr>
      </w:pPr>
    </w:p>
    <w:p w14:paraId="67147C0C" w14:textId="77777777" w:rsidR="00B7565C" w:rsidRPr="005A33FF" w:rsidRDefault="00B7565C" w:rsidP="00B7565C">
      <w:pPr>
        <w:pStyle w:val="ListParagraph"/>
        <w:numPr>
          <w:ilvl w:val="0"/>
          <w:numId w:val="3"/>
        </w:numPr>
        <w:jc w:val="both"/>
        <w:rPr>
          <w:rFonts w:asciiTheme="majorHAnsi" w:hAnsiTheme="majorHAnsi" w:cs="Arial"/>
        </w:rPr>
      </w:pPr>
      <w:r w:rsidRPr="005A33FF">
        <w:rPr>
          <w:rFonts w:asciiTheme="majorHAnsi" w:hAnsiTheme="majorHAnsi" w:cs="Arial"/>
          <w:u w:val="single"/>
        </w:rPr>
        <w:t>2013:</w:t>
      </w:r>
      <w:r w:rsidRPr="005A33FF">
        <w:rPr>
          <w:rFonts w:asciiTheme="majorHAnsi" w:hAnsiTheme="majorHAnsi" w:cs="Arial"/>
        </w:rPr>
        <w:t xml:space="preserve"> </w:t>
      </w:r>
      <w:r w:rsidRPr="005A33FF">
        <w:rPr>
          <w:rFonts w:asciiTheme="majorHAnsi" w:hAnsiTheme="majorHAnsi" w:cs="Arial"/>
          <w:b/>
          <w:i/>
        </w:rPr>
        <w:t xml:space="preserve">Osborn v The Parole Board </w:t>
      </w:r>
      <w:r w:rsidRPr="005A33FF">
        <w:rPr>
          <w:rFonts w:asciiTheme="majorHAnsi" w:hAnsiTheme="majorHAnsi" w:cs="Arial"/>
          <w:b/>
        </w:rPr>
        <w:t>[2013] UKSC 61</w:t>
      </w:r>
      <w:r w:rsidRPr="005A33FF">
        <w:rPr>
          <w:rFonts w:asciiTheme="majorHAnsi" w:hAnsiTheme="majorHAnsi" w:cs="Arial"/>
        </w:rPr>
        <w:t xml:space="preserve">:  The appellants had sought early release and had been denied an oral hearing by the Parole Board under the operation of the statutory regime.  Their cases had instead been decided on paper by a single anonymous member of the Board.  </w:t>
      </w:r>
      <w:r>
        <w:rPr>
          <w:rFonts w:asciiTheme="majorHAnsi" w:hAnsiTheme="majorHAnsi" w:cs="Arial"/>
        </w:rPr>
        <w:t>The Supreme Court h</w:t>
      </w:r>
      <w:r w:rsidRPr="005A33FF">
        <w:rPr>
          <w:rFonts w:asciiTheme="majorHAnsi" w:hAnsiTheme="majorHAnsi" w:cs="Arial"/>
        </w:rPr>
        <w:t xml:space="preserve">eld that by denying the </w:t>
      </w:r>
      <w:r w:rsidRPr="005A33FF">
        <w:rPr>
          <w:rFonts w:asciiTheme="majorHAnsi" w:hAnsiTheme="majorHAnsi" w:cs="Arial"/>
        </w:rPr>
        <w:lastRenderedPageBreak/>
        <w:t xml:space="preserve">appellants an oral hearing in the circumstances of their cases the Board had breached the requirements of procedural fairness it owed them at common law.  As the common law duty of fairness satisfied the requirements of </w:t>
      </w:r>
      <w:r>
        <w:rPr>
          <w:rFonts w:asciiTheme="majorHAnsi" w:hAnsiTheme="majorHAnsi" w:cs="Arial"/>
        </w:rPr>
        <w:t>article 5(4) (decision on detention by a ‘court’)</w:t>
      </w:r>
      <w:r w:rsidRPr="005A33FF">
        <w:rPr>
          <w:rFonts w:asciiTheme="majorHAnsi" w:hAnsiTheme="majorHAnsi" w:cs="Arial"/>
        </w:rPr>
        <w:t>, it followed that the Board had also acted incompatibly with the appellants’ Convention rights</w:t>
      </w:r>
      <w:r w:rsidRPr="005A33FF">
        <w:rPr>
          <w:rFonts w:asciiTheme="majorHAnsi" w:hAnsiTheme="majorHAnsi" w:cs="Arial"/>
          <w:i/>
        </w:rPr>
        <w:t xml:space="preserve">. (The </w:t>
      </w:r>
      <w:r>
        <w:rPr>
          <w:rFonts w:asciiTheme="majorHAnsi" w:hAnsiTheme="majorHAnsi" w:cs="Arial"/>
          <w:i/>
        </w:rPr>
        <w:t>Court</w:t>
      </w:r>
      <w:r w:rsidRPr="005A33FF">
        <w:rPr>
          <w:rFonts w:asciiTheme="majorHAnsi" w:hAnsiTheme="majorHAnsi" w:cs="Arial"/>
          <w:i/>
        </w:rPr>
        <w:t xml:space="preserve"> was critical of the appellants’ focus on article 5(4) and comparative lack of attention to domestic administrative law (at [54]).  It stated that the Convention rights were ex</w:t>
      </w:r>
      <w:r>
        <w:rPr>
          <w:rFonts w:asciiTheme="majorHAnsi" w:hAnsiTheme="majorHAnsi" w:cs="Arial"/>
          <w:i/>
        </w:rPr>
        <w:t>pressed very generally, and should</w:t>
      </w:r>
      <w:r w:rsidRPr="005A33FF">
        <w:rPr>
          <w:rFonts w:asciiTheme="majorHAnsi" w:hAnsiTheme="majorHAnsi" w:cs="Arial"/>
          <w:i/>
        </w:rPr>
        <w:t xml:space="preserve"> be fulfilled at</w:t>
      </w:r>
      <w:r>
        <w:rPr>
          <w:rFonts w:asciiTheme="majorHAnsi" w:hAnsiTheme="majorHAnsi" w:cs="Arial"/>
          <w:i/>
        </w:rPr>
        <w:t xml:space="preserve"> a</w:t>
      </w:r>
      <w:r w:rsidRPr="005A33FF">
        <w:rPr>
          <w:rFonts w:asciiTheme="majorHAnsi" w:hAnsiTheme="majorHAnsi" w:cs="Arial"/>
          <w:i/>
        </w:rPr>
        <w:t xml:space="preserve"> national level through more specific domestic law.  The protection of human rights “is not a distinct area of law, based on the case law of the ECHR, but permeates our legal system” at [55]).</w:t>
      </w:r>
      <w:r w:rsidRPr="005A33FF">
        <w:rPr>
          <w:rFonts w:asciiTheme="majorHAnsi" w:hAnsiTheme="majorHAnsi" w:cs="Arial"/>
        </w:rPr>
        <w:t xml:space="preserve">  </w:t>
      </w:r>
    </w:p>
    <w:p w14:paraId="17E7B5A6" w14:textId="77777777" w:rsidR="00B7565C" w:rsidRPr="005A33FF" w:rsidRDefault="00B7565C" w:rsidP="00B7565C">
      <w:pPr>
        <w:pStyle w:val="ListParagraph"/>
        <w:jc w:val="both"/>
        <w:rPr>
          <w:rFonts w:asciiTheme="majorHAnsi" w:hAnsiTheme="majorHAnsi" w:cs="Arial"/>
        </w:rPr>
      </w:pPr>
    </w:p>
    <w:p w14:paraId="2F305A40" w14:textId="11409B0E" w:rsidR="00B7565C" w:rsidRPr="005A33FF" w:rsidRDefault="00B7565C" w:rsidP="00B7565C">
      <w:pPr>
        <w:pStyle w:val="ListParagraph"/>
        <w:numPr>
          <w:ilvl w:val="0"/>
          <w:numId w:val="3"/>
        </w:numPr>
        <w:jc w:val="both"/>
        <w:rPr>
          <w:rFonts w:asciiTheme="majorHAnsi" w:hAnsiTheme="majorHAnsi" w:cs="Arial"/>
          <w:u w:val="single"/>
        </w:rPr>
      </w:pPr>
      <w:r w:rsidRPr="005A33FF">
        <w:rPr>
          <w:rFonts w:asciiTheme="majorHAnsi" w:hAnsiTheme="majorHAnsi" w:cs="Arial"/>
          <w:u w:val="single"/>
        </w:rPr>
        <w:t>2012:</w:t>
      </w:r>
      <w:r w:rsidRPr="005A33FF">
        <w:rPr>
          <w:rFonts w:asciiTheme="majorHAnsi" w:hAnsiTheme="majorHAnsi" w:cs="Arial"/>
        </w:rPr>
        <w:t xml:space="preserve"> </w:t>
      </w:r>
      <w:r w:rsidRPr="005A33FF">
        <w:rPr>
          <w:rFonts w:asciiTheme="majorHAnsi" w:hAnsiTheme="majorHAnsi" w:cs="Arial"/>
          <w:b/>
          <w:i/>
        </w:rPr>
        <w:t xml:space="preserve">Cameron v Procurator Fiscal </w:t>
      </w:r>
      <w:r w:rsidRPr="005A33FF">
        <w:rPr>
          <w:rFonts w:asciiTheme="majorHAnsi" w:hAnsiTheme="majorHAnsi" w:cs="Arial"/>
          <w:b/>
        </w:rPr>
        <w:t xml:space="preserve">[2012] </w:t>
      </w:r>
      <w:proofErr w:type="spellStart"/>
      <w:r w:rsidRPr="005A33FF">
        <w:rPr>
          <w:rFonts w:asciiTheme="majorHAnsi" w:hAnsiTheme="majorHAnsi" w:cs="Arial"/>
          <w:b/>
        </w:rPr>
        <w:t>ScotHC</w:t>
      </w:r>
      <w:proofErr w:type="spellEnd"/>
      <w:r w:rsidRPr="005A33FF">
        <w:rPr>
          <w:rFonts w:asciiTheme="majorHAnsi" w:hAnsiTheme="majorHAnsi" w:cs="Arial"/>
          <w:b/>
        </w:rPr>
        <w:t xml:space="preserve"> HCJAC_19: </w:t>
      </w:r>
      <w:r w:rsidRPr="005A33FF">
        <w:rPr>
          <w:rFonts w:asciiTheme="majorHAnsi" w:hAnsiTheme="majorHAnsi" w:cs="Arial"/>
        </w:rPr>
        <w:t xml:space="preserve">(Under the Scotland Act, any law passed by the Scottish government in Holyrood can be struck down by the Scottish courts if it is incompatible with the ECHR. </w:t>
      </w:r>
      <w:r>
        <w:rPr>
          <w:rFonts w:asciiTheme="majorHAnsi" w:hAnsiTheme="majorHAnsi" w:cs="Arial"/>
        </w:rPr>
        <w:t>T</w:t>
      </w:r>
      <w:r w:rsidRPr="005A33FF">
        <w:rPr>
          <w:rFonts w:asciiTheme="majorHAnsi" w:hAnsiTheme="majorHAnsi" w:cs="Arial"/>
        </w:rPr>
        <w:t>he HRA power to make a declaration of incompatibility</w:t>
      </w:r>
      <w:r>
        <w:rPr>
          <w:rFonts w:asciiTheme="majorHAnsi" w:hAnsiTheme="majorHAnsi" w:cs="Arial"/>
        </w:rPr>
        <w:t xml:space="preserve"> still applies</w:t>
      </w:r>
      <w:r w:rsidRPr="005A33FF">
        <w:rPr>
          <w:rFonts w:asciiTheme="majorHAnsi" w:hAnsiTheme="majorHAnsi" w:cs="Arial"/>
        </w:rPr>
        <w:t xml:space="preserve"> in relation to Westminster Acts.)  Mandatory provisions of the standard Scottish bail conditions required any bailed person whenever reasonably instructed to do so to participate in ID procedures and allow prints, </w:t>
      </w:r>
      <w:proofErr w:type="spellStart"/>
      <w:r w:rsidRPr="005A33FF">
        <w:rPr>
          <w:rFonts w:asciiTheme="majorHAnsi" w:hAnsiTheme="majorHAnsi" w:cs="Arial"/>
        </w:rPr>
        <w:t>etc</w:t>
      </w:r>
      <w:proofErr w:type="spellEnd"/>
      <w:r w:rsidRPr="005A33FF">
        <w:rPr>
          <w:rFonts w:asciiTheme="majorHAnsi" w:hAnsiTheme="majorHAnsi" w:cs="Arial"/>
        </w:rPr>
        <w:t>, to be taken.  Article 5 is engaged by pre-bail conditions, and the mandatory nature of the provisions, which removed any judicial discretion and supervisio</w:t>
      </w:r>
      <w:r>
        <w:rPr>
          <w:rFonts w:asciiTheme="majorHAnsi" w:hAnsiTheme="majorHAnsi" w:cs="Arial"/>
        </w:rPr>
        <w:t>n, was a violation of Article 5 (</w:t>
      </w:r>
      <w:r>
        <w:rPr>
          <w:rFonts w:asciiTheme="majorHAnsi" w:hAnsiTheme="majorHAnsi" w:cs="Arial"/>
          <w:i/>
        </w:rPr>
        <w:t xml:space="preserve">cf. </w:t>
      </w:r>
      <w:r>
        <w:rPr>
          <w:rFonts w:asciiTheme="majorHAnsi" w:hAnsiTheme="majorHAnsi" w:cs="Arial"/>
        </w:rPr>
        <w:t>the position in England and Wales).</w:t>
      </w:r>
    </w:p>
    <w:p w14:paraId="102ADFC6" w14:textId="77777777" w:rsidR="00B7565C" w:rsidRPr="001F2B26" w:rsidRDefault="00B7565C" w:rsidP="00B7565C">
      <w:pPr>
        <w:pStyle w:val="ListParagraph"/>
        <w:spacing w:after="0" w:line="240" w:lineRule="auto"/>
        <w:jc w:val="both"/>
        <w:rPr>
          <w:rFonts w:asciiTheme="majorHAnsi" w:hAnsiTheme="majorHAnsi"/>
        </w:rPr>
      </w:pPr>
    </w:p>
    <w:p w14:paraId="18D17FD2" w14:textId="77777777" w:rsidR="007173DB" w:rsidRPr="001F2B26" w:rsidRDefault="007173DB" w:rsidP="007173DB">
      <w:pPr>
        <w:pStyle w:val="ListParagraph"/>
        <w:spacing w:after="0" w:line="240" w:lineRule="auto"/>
        <w:jc w:val="both"/>
        <w:rPr>
          <w:rFonts w:asciiTheme="majorHAnsi" w:hAnsiTheme="majorHAnsi"/>
        </w:rPr>
      </w:pPr>
    </w:p>
    <w:p w14:paraId="3AE66BA6" w14:textId="71D99307" w:rsidR="007173DB" w:rsidRPr="007173DB" w:rsidRDefault="00F24F4E" w:rsidP="007173DB">
      <w:pPr>
        <w:spacing w:after="0" w:line="240" w:lineRule="auto"/>
        <w:jc w:val="both"/>
        <w:rPr>
          <w:rFonts w:asciiTheme="majorHAnsi" w:hAnsiTheme="majorHAnsi"/>
        </w:rPr>
      </w:pPr>
      <w:r w:rsidRPr="007173DB">
        <w:rPr>
          <w:rFonts w:asciiTheme="majorHAnsi" w:hAnsiTheme="majorHAnsi"/>
          <w:b/>
        </w:rPr>
        <w:t>Article 6</w:t>
      </w:r>
      <w:r w:rsidR="007173DB">
        <w:rPr>
          <w:rFonts w:asciiTheme="majorHAnsi" w:hAnsiTheme="majorHAnsi"/>
          <w:b/>
        </w:rPr>
        <w:t xml:space="preserve"> – right to a fair trial</w:t>
      </w:r>
    </w:p>
    <w:p w14:paraId="43E41FC0" w14:textId="77777777" w:rsidR="007173DB" w:rsidRDefault="007173DB" w:rsidP="007173DB">
      <w:pPr>
        <w:spacing w:after="0" w:line="240" w:lineRule="auto"/>
        <w:jc w:val="both"/>
        <w:rPr>
          <w:rFonts w:asciiTheme="majorHAnsi" w:hAnsiTheme="majorHAnsi"/>
        </w:rPr>
      </w:pPr>
    </w:p>
    <w:p w14:paraId="156CFDCA" w14:textId="0B866989" w:rsidR="0049187D" w:rsidRPr="005A33FF" w:rsidRDefault="0049187D" w:rsidP="0049187D">
      <w:pPr>
        <w:pStyle w:val="ListParagraph"/>
        <w:numPr>
          <w:ilvl w:val="0"/>
          <w:numId w:val="4"/>
        </w:numPr>
        <w:jc w:val="both"/>
        <w:rPr>
          <w:rFonts w:asciiTheme="majorHAnsi" w:hAnsiTheme="majorHAnsi" w:cs="Arial"/>
          <w:u w:val="single"/>
        </w:rPr>
      </w:pPr>
      <w:r w:rsidRPr="005A33FF">
        <w:rPr>
          <w:rFonts w:asciiTheme="majorHAnsi" w:hAnsiTheme="majorHAnsi"/>
          <w:u w:val="single"/>
        </w:rPr>
        <w:t>2016</w:t>
      </w:r>
      <w:r w:rsidRPr="005A33FF">
        <w:rPr>
          <w:rFonts w:asciiTheme="majorHAnsi" w:hAnsiTheme="majorHAnsi"/>
        </w:rPr>
        <w:t xml:space="preserve">: </w:t>
      </w:r>
      <w:r w:rsidRPr="005A33FF">
        <w:rPr>
          <w:rFonts w:asciiTheme="majorHAnsi" w:hAnsiTheme="majorHAnsi"/>
          <w:b/>
          <w:i/>
        </w:rPr>
        <w:t xml:space="preserve">Guardian News and Media Ltd. v. </w:t>
      </w:r>
      <w:proofErr w:type="spellStart"/>
      <w:r w:rsidRPr="005A33FF">
        <w:rPr>
          <w:rFonts w:asciiTheme="majorHAnsi" w:hAnsiTheme="majorHAnsi"/>
          <w:b/>
          <w:i/>
        </w:rPr>
        <w:t>Incedal</w:t>
      </w:r>
      <w:proofErr w:type="spellEnd"/>
      <w:r>
        <w:rPr>
          <w:rFonts w:asciiTheme="majorHAnsi" w:hAnsiTheme="majorHAnsi"/>
          <w:b/>
        </w:rPr>
        <w:t>, [2016] EWCA</w:t>
      </w:r>
      <w:r w:rsidRPr="005A33FF">
        <w:rPr>
          <w:rFonts w:asciiTheme="majorHAnsi" w:hAnsiTheme="majorHAnsi"/>
          <w:b/>
        </w:rPr>
        <w:t xml:space="preserve"> Crim 11</w:t>
      </w:r>
      <w:r>
        <w:rPr>
          <w:rFonts w:asciiTheme="majorHAnsi" w:hAnsiTheme="majorHAnsi"/>
        </w:rPr>
        <w:t>; V</w:t>
      </w:r>
      <w:r w:rsidRPr="005A33FF">
        <w:rPr>
          <w:rFonts w:asciiTheme="majorHAnsi" w:hAnsiTheme="majorHAnsi"/>
        </w:rPr>
        <w:t xml:space="preserve">arious media organisations appealed against continuing restrictions on reporting parts of the trial of </w:t>
      </w:r>
      <w:proofErr w:type="spellStart"/>
      <w:r w:rsidRPr="005A33FF">
        <w:rPr>
          <w:rFonts w:asciiTheme="majorHAnsi" w:hAnsiTheme="majorHAnsi"/>
        </w:rPr>
        <w:t>Erol</w:t>
      </w:r>
      <w:proofErr w:type="spellEnd"/>
      <w:r w:rsidRPr="005A33FF">
        <w:rPr>
          <w:rFonts w:asciiTheme="majorHAnsi" w:hAnsiTheme="majorHAnsi"/>
        </w:rPr>
        <w:t xml:space="preserve"> </w:t>
      </w:r>
      <w:proofErr w:type="spellStart"/>
      <w:r w:rsidRPr="005A33FF">
        <w:rPr>
          <w:rFonts w:asciiTheme="majorHAnsi" w:hAnsiTheme="majorHAnsi"/>
        </w:rPr>
        <w:t>Incedal</w:t>
      </w:r>
      <w:proofErr w:type="spellEnd"/>
      <w:r w:rsidRPr="005A33FF">
        <w:rPr>
          <w:rFonts w:asciiTheme="majorHAnsi" w:hAnsiTheme="majorHAnsi"/>
        </w:rPr>
        <w:t xml:space="preserve">, on terrorist charges, that had been held in private. </w:t>
      </w:r>
      <w:r>
        <w:rPr>
          <w:rFonts w:asciiTheme="majorHAnsi" w:hAnsiTheme="majorHAnsi"/>
        </w:rPr>
        <w:t xml:space="preserve">The Court of </w:t>
      </w:r>
      <w:r w:rsidRPr="005A33FF">
        <w:rPr>
          <w:rFonts w:asciiTheme="majorHAnsi" w:hAnsiTheme="majorHAnsi"/>
        </w:rPr>
        <w:t>Appeal dismissed</w:t>
      </w:r>
      <w:r>
        <w:rPr>
          <w:rFonts w:asciiTheme="majorHAnsi" w:hAnsiTheme="majorHAnsi"/>
        </w:rPr>
        <w:t xml:space="preserve"> the claim</w:t>
      </w:r>
      <w:r w:rsidRPr="005A33FF">
        <w:rPr>
          <w:rFonts w:asciiTheme="majorHAnsi" w:hAnsiTheme="majorHAnsi"/>
        </w:rPr>
        <w:t>. The Court accepted that there was a strong public interest in the evidence that was heard in private being made public.  However, in this case, a departure from the principles of open justice was necessary for justice to be done (the decision was based on the nature of the evidence, which the court was unable to make public).  It</w:t>
      </w:r>
      <w:r>
        <w:rPr>
          <w:rFonts w:asciiTheme="majorHAnsi" w:hAnsiTheme="majorHAnsi"/>
        </w:rPr>
        <w:t xml:space="preserve"> did, however,</w:t>
      </w:r>
      <w:r w:rsidRPr="005A33FF">
        <w:rPr>
          <w:rFonts w:asciiTheme="majorHAnsi" w:hAnsiTheme="majorHAnsi"/>
        </w:rPr>
        <w:t xml:space="preserve"> request that a working party be formed to advise the Court of Appeal on how to </w:t>
      </w:r>
      <w:r>
        <w:rPr>
          <w:rFonts w:asciiTheme="majorHAnsi" w:hAnsiTheme="majorHAnsi"/>
        </w:rPr>
        <w:t xml:space="preserve">ensure that the </w:t>
      </w:r>
      <w:r w:rsidRPr="005A33FF">
        <w:rPr>
          <w:rFonts w:asciiTheme="majorHAnsi" w:hAnsiTheme="majorHAnsi"/>
        </w:rPr>
        <w:t xml:space="preserve">practice of </w:t>
      </w:r>
      <w:r>
        <w:rPr>
          <w:rFonts w:asciiTheme="majorHAnsi" w:hAnsiTheme="majorHAnsi"/>
        </w:rPr>
        <w:t>following precedents</w:t>
      </w:r>
      <w:r w:rsidRPr="005A33FF">
        <w:rPr>
          <w:rFonts w:asciiTheme="majorHAnsi" w:hAnsiTheme="majorHAnsi"/>
        </w:rPr>
        <w:t xml:space="preserve"> in making decisions</w:t>
      </w:r>
      <w:r>
        <w:rPr>
          <w:rFonts w:asciiTheme="majorHAnsi" w:hAnsiTheme="majorHAnsi"/>
        </w:rPr>
        <w:t xml:space="preserve"> could be scrutinised, notwithstanding the use of a closed judgment</w:t>
      </w:r>
      <w:r w:rsidRPr="005A33FF">
        <w:rPr>
          <w:rFonts w:asciiTheme="majorHAnsi" w:hAnsiTheme="majorHAnsi"/>
        </w:rPr>
        <w:t>.</w:t>
      </w:r>
    </w:p>
    <w:p w14:paraId="18922480" w14:textId="77777777" w:rsidR="003C010F" w:rsidRDefault="003C010F" w:rsidP="003C010F">
      <w:pPr>
        <w:pStyle w:val="ListParagraph"/>
        <w:spacing w:after="0" w:line="240" w:lineRule="auto"/>
        <w:jc w:val="both"/>
        <w:rPr>
          <w:rFonts w:asciiTheme="majorHAnsi" w:hAnsiTheme="majorHAnsi"/>
        </w:rPr>
      </w:pPr>
    </w:p>
    <w:p w14:paraId="4EF80F6C" w14:textId="6AC25234" w:rsidR="003C010F" w:rsidRDefault="003C010F" w:rsidP="007173DB">
      <w:pPr>
        <w:pStyle w:val="ListParagraph"/>
        <w:numPr>
          <w:ilvl w:val="0"/>
          <w:numId w:val="18"/>
        </w:numPr>
        <w:spacing w:after="0" w:line="240" w:lineRule="auto"/>
        <w:jc w:val="both"/>
        <w:rPr>
          <w:rFonts w:asciiTheme="majorHAnsi" w:hAnsiTheme="majorHAnsi"/>
        </w:rPr>
      </w:pPr>
      <w:r>
        <w:rPr>
          <w:rFonts w:asciiTheme="majorHAnsi" w:hAnsiTheme="majorHAnsi"/>
          <w:u w:val="single"/>
        </w:rPr>
        <w:t>2012:</w:t>
      </w:r>
      <w:r>
        <w:rPr>
          <w:rFonts w:asciiTheme="majorHAnsi" w:hAnsiTheme="majorHAnsi"/>
        </w:rPr>
        <w:t xml:space="preserve"> </w:t>
      </w:r>
      <w:r w:rsidRPr="003C010F">
        <w:rPr>
          <w:rFonts w:asciiTheme="majorHAnsi" w:hAnsiTheme="majorHAnsi"/>
          <w:b/>
          <w:i/>
        </w:rPr>
        <w:t>Othman (Abu Qatada) v. United Kingdom</w:t>
      </w:r>
      <w:r w:rsidRPr="003C010F">
        <w:rPr>
          <w:rFonts w:asciiTheme="majorHAnsi" w:hAnsiTheme="majorHAnsi"/>
          <w:b/>
        </w:rPr>
        <w:t xml:space="preserve"> </w:t>
      </w:r>
      <w:r w:rsidR="005F4C5F">
        <w:rPr>
          <w:rFonts w:asciiTheme="majorHAnsi" w:hAnsiTheme="majorHAnsi"/>
          <w:b/>
        </w:rPr>
        <w:t xml:space="preserve">App. No. </w:t>
      </w:r>
      <w:r w:rsidRPr="003C010F">
        <w:rPr>
          <w:rFonts w:asciiTheme="majorHAnsi" w:hAnsiTheme="majorHAnsi"/>
          <w:b/>
        </w:rPr>
        <w:t>8139/09 [2012] ECHR 56</w:t>
      </w:r>
      <w:r>
        <w:rPr>
          <w:rFonts w:asciiTheme="majorHAnsi" w:hAnsiTheme="majorHAnsi"/>
        </w:rPr>
        <w:t>; the UK sought to deport Ab</w:t>
      </w:r>
      <w:r w:rsidR="005F4C5F">
        <w:rPr>
          <w:rFonts w:asciiTheme="majorHAnsi" w:hAnsiTheme="majorHAnsi"/>
        </w:rPr>
        <w:t>u</w:t>
      </w:r>
      <w:r>
        <w:rPr>
          <w:rFonts w:asciiTheme="majorHAnsi" w:hAnsiTheme="majorHAnsi"/>
        </w:rPr>
        <w:t xml:space="preserve"> Qatada to Jordan due to suspicion of involvement in terrorist activities</w:t>
      </w:r>
      <w:r w:rsidR="005F4C5F">
        <w:rPr>
          <w:rFonts w:asciiTheme="majorHAnsi" w:hAnsiTheme="majorHAnsi"/>
        </w:rPr>
        <w:t xml:space="preserve"> in the UK</w:t>
      </w:r>
      <w:r>
        <w:rPr>
          <w:rFonts w:asciiTheme="majorHAnsi" w:hAnsiTheme="majorHAnsi"/>
        </w:rPr>
        <w:t xml:space="preserve">. He challenged this due to </w:t>
      </w:r>
      <w:r w:rsidR="005F4C5F">
        <w:rPr>
          <w:rFonts w:asciiTheme="majorHAnsi" w:hAnsiTheme="majorHAnsi"/>
        </w:rPr>
        <w:t xml:space="preserve">having been tried in his absence and sentenced to life imprisonment on terrorism charges there. He argued that evidence against him had been extracted through torture. The Strasbourg court held that deportation would violate the right to a fair trial due to the reliance that would be placed on unfair evidence at re-trial. In 2013 </w:t>
      </w:r>
      <w:r w:rsidR="005F4C5F">
        <w:rPr>
          <w:rFonts w:asciiTheme="majorHAnsi" w:hAnsiTheme="majorHAnsi"/>
        </w:rPr>
        <w:t>Abu Qatada</w:t>
      </w:r>
      <w:r w:rsidR="005F4C5F">
        <w:rPr>
          <w:rFonts w:asciiTheme="majorHAnsi" w:hAnsiTheme="majorHAnsi"/>
        </w:rPr>
        <w:t xml:space="preserve"> was deported to Jordan following the signing of a bi-lateral treaty by Jordan that the evidence would not be used. He was then acquitted of the charges </w:t>
      </w:r>
      <w:r w:rsidR="005F4C5F">
        <w:rPr>
          <w:rFonts w:asciiTheme="majorHAnsi" w:hAnsiTheme="majorHAnsi"/>
        </w:rPr>
        <w:t>in 2014</w:t>
      </w:r>
      <w:r w:rsidR="005F4C5F">
        <w:rPr>
          <w:rFonts w:asciiTheme="majorHAnsi" w:hAnsiTheme="majorHAnsi"/>
        </w:rPr>
        <w:t>.</w:t>
      </w:r>
    </w:p>
    <w:p w14:paraId="0D5EC824" w14:textId="77777777" w:rsidR="007173DB" w:rsidRPr="007173DB" w:rsidRDefault="007173DB" w:rsidP="007173DB">
      <w:pPr>
        <w:pStyle w:val="ListParagraph"/>
        <w:spacing w:after="0" w:line="240" w:lineRule="auto"/>
        <w:jc w:val="both"/>
        <w:rPr>
          <w:rFonts w:asciiTheme="majorHAnsi" w:hAnsiTheme="majorHAnsi"/>
        </w:rPr>
      </w:pPr>
    </w:p>
    <w:p w14:paraId="459CFEE9" w14:textId="40481C21" w:rsidR="0004295A" w:rsidRDefault="0004295A" w:rsidP="001F2B26">
      <w:pPr>
        <w:pStyle w:val="ListParagraph"/>
        <w:numPr>
          <w:ilvl w:val="0"/>
          <w:numId w:val="4"/>
        </w:numPr>
        <w:spacing w:after="0" w:line="240" w:lineRule="auto"/>
        <w:jc w:val="both"/>
        <w:rPr>
          <w:rFonts w:asciiTheme="majorHAnsi" w:hAnsiTheme="majorHAnsi"/>
        </w:rPr>
      </w:pPr>
      <w:r w:rsidRPr="001F2B26">
        <w:rPr>
          <w:rFonts w:asciiTheme="majorHAnsi" w:hAnsiTheme="majorHAnsi"/>
          <w:u w:val="single"/>
        </w:rPr>
        <w:t>2010</w:t>
      </w:r>
      <w:r w:rsidRPr="001F2B26">
        <w:rPr>
          <w:rFonts w:asciiTheme="majorHAnsi" w:hAnsiTheme="majorHAnsi"/>
        </w:rPr>
        <w:t xml:space="preserve">: </w:t>
      </w:r>
      <w:r w:rsidRPr="001F2B26">
        <w:rPr>
          <w:rFonts w:asciiTheme="majorHAnsi" w:hAnsiTheme="majorHAnsi"/>
          <w:b/>
          <w:i/>
        </w:rPr>
        <w:t>Peter</w:t>
      </w:r>
      <w:r w:rsidRPr="001F2B26">
        <w:rPr>
          <w:rFonts w:asciiTheme="majorHAnsi" w:hAnsiTheme="majorHAnsi"/>
          <w:b/>
        </w:rPr>
        <w:t xml:space="preserve"> </w:t>
      </w:r>
      <w:proofErr w:type="spellStart"/>
      <w:r w:rsidRPr="001F2B26">
        <w:rPr>
          <w:rFonts w:asciiTheme="majorHAnsi" w:hAnsiTheme="majorHAnsi"/>
          <w:b/>
          <w:i/>
        </w:rPr>
        <w:t>Cadder</w:t>
      </w:r>
      <w:proofErr w:type="spellEnd"/>
      <w:r w:rsidRPr="001F2B26">
        <w:rPr>
          <w:rFonts w:asciiTheme="majorHAnsi" w:hAnsiTheme="majorHAnsi"/>
          <w:b/>
          <w:i/>
        </w:rPr>
        <w:t xml:space="preserve"> v </w:t>
      </w:r>
      <w:r w:rsidR="00824116" w:rsidRPr="001F2B26">
        <w:rPr>
          <w:rFonts w:asciiTheme="majorHAnsi" w:hAnsiTheme="majorHAnsi"/>
          <w:b/>
          <w:i/>
        </w:rPr>
        <w:t>HM Advocate</w:t>
      </w:r>
      <w:r w:rsidR="00824116" w:rsidRPr="001F2B26">
        <w:rPr>
          <w:rFonts w:asciiTheme="majorHAnsi" w:hAnsiTheme="majorHAnsi"/>
          <w:b/>
        </w:rPr>
        <w:t>,  [2010] UKSC 43; [2010] 1 W.L.R. 2601</w:t>
      </w:r>
      <w:r w:rsidR="005F4C5F">
        <w:rPr>
          <w:rFonts w:asciiTheme="majorHAnsi" w:hAnsiTheme="majorHAnsi"/>
          <w:b/>
        </w:rPr>
        <w:t xml:space="preserve"> </w:t>
      </w:r>
      <w:r w:rsidR="005F4C5F">
        <w:rPr>
          <w:rFonts w:asciiTheme="majorHAnsi" w:hAnsiTheme="majorHAnsi"/>
        </w:rPr>
        <w:t>(JUSTICE intervening)</w:t>
      </w:r>
      <w:r w:rsidR="00C33403" w:rsidRPr="001F2B26">
        <w:rPr>
          <w:rFonts w:asciiTheme="majorHAnsi" w:hAnsiTheme="majorHAnsi"/>
        </w:rPr>
        <w:t xml:space="preserve">; The Supreme Court ruled that a person detained under the Criminal Procedure (Scotland) Act 1995 s.14 had to have access to a lawyer from the time of his first interview unless there were compelling reasons in </w:t>
      </w:r>
      <w:r w:rsidR="005F4C5F">
        <w:rPr>
          <w:rFonts w:asciiTheme="majorHAnsi" w:hAnsiTheme="majorHAnsi"/>
        </w:rPr>
        <w:t xml:space="preserve">the </w:t>
      </w:r>
      <w:r w:rsidR="00C33403" w:rsidRPr="001F2B26">
        <w:rPr>
          <w:rFonts w:asciiTheme="majorHAnsi" w:hAnsiTheme="majorHAnsi"/>
        </w:rPr>
        <w:t xml:space="preserve">particular circumstances of the case that made the presence of a lawyer impracticable; Relied on </w:t>
      </w:r>
      <w:proofErr w:type="spellStart"/>
      <w:r w:rsidR="00C33403" w:rsidRPr="001F2B26">
        <w:rPr>
          <w:rFonts w:asciiTheme="majorHAnsi" w:hAnsiTheme="majorHAnsi"/>
          <w:i/>
        </w:rPr>
        <w:t>Salduz</w:t>
      </w:r>
      <w:proofErr w:type="spellEnd"/>
      <w:r w:rsidR="00C33403" w:rsidRPr="001F2B26">
        <w:rPr>
          <w:rFonts w:asciiTheme="majorHAnsi" w:hAnsiTheme="majorHAnsi"/>
          <w:i/>
        </w:rPr>
        <w:t xml:space="preserve"> v. Turkey</w:t>
      </w:r>
      <w:r w:rsidR="005F4C5F">
        <w:rPr>
          <w:rFonts w:asciiTheme="majorHAnsi" w:hAnsiTheme="majorHAnsi"/>
        </w:rPr>
        <w:t xml:space="preserve"> </w:t>
      </w:r>
      <w:r w:rsidR="005F4C5F">
        <w:rPr>
          <w:rFonts w:asciiTheme="majorHAnsi" w:hAnsiTheme="majorHAnsi"/>
        </w:rPr>
        <w:lastRenderedPageBreak/>
        <w:t>(2009) EHRR 19,</w:t>
      </w:r>
      <w:r w:rsidR="00C33403" w:rsidRPr="001F2B26">
        <w:rPr>
          <w:rFonts w:asciiTheme="majorHAnsi" w:hAnsiTheme="majorHAnsi"/>
        </w:rPr>
        <w:t xml:space="preserve"> where the applicant succeeded on his application to the </w:t>
      </w:r>
      <w:proofErr w:type="spellStart"/>
      <w:r w:rsidR="00C33403" w:rsidRPr="001F2B26">
        <w:rPr>
          <w:rFonts w:asciiTheme="majorHAnsi" w:hAnsiTheme="majorHAnsi"/>
        </w:rPr>
        <w:t>ECtHR</w:t>
      </w:r>
      <w:proofErr w:type="spellEnd"/>
      <w:r w:rsidR="00C33403" w:rsidRPr="001F2B26">
        <w:rPr>
          <w:rFonts w:asciiTheme="majorHAnsi" w:hAnsiTheme="majorHAnsi"/>
        </w:rPr>
        <w:t xml:space="preserve"> that refusal for the state to allow him access to a lawyer while in detention violated his right to a fair trial, which includes the right to legal advice in police custody</w:t>
      </w:r>
      <w:r w:rsidR="005F4C5F">
        <w:rPr>
          <w:rFonts w:asciiTheme="majorHAnsi" w:hAnsiTheme="majorHAnsi"/>
        </w:rPr>
        <w:t xml:space="preserve"> pursuant to art. 6(3</w:t>
      </w:r>
      <w:proofErr w:type="gramStart"/>
      <w:r w:rsidR="005F4C5F">
        <w:rPr>
          <w:rFonts w:asciiTheme="majorHAnsi" w:hAnsiTheme="majorHAnsi"/>
        </w:rPr>
        <w:t>)(</w:t>
      </w:r>
      <w:proofErr w:type="gramEnd"/>
      <w:r w:rsidR="005F4C5F">
        <w:rPr>
          <w:rFonts w:asciiTheme="majorHAnsi" w:hAnsiTheme="majorHAnsi"/>
        </w:rPr>
        <w:t>c).</w:t>
      </w:r>
    </w:p>
    <w:p w14:paraId="3BD88AFA" w14:textId="77777777" w:rsidR="005F4C5F" w:rsidRPr="001F2B26" w:rsidRDefault="005F4C5F" w:rsidP="005F4C5F">
      <w:pPr>
        <w:pStyle w:val="ListParagraph"/>
        <w:spacing w:after="0" w:line="240" w:lineRule="auto"/>
        <w:jc w:val="both"/>
        <w:rPr>
          <w:rFonts w:asciiTheme="majorHAnsi" w:hAnsiTheme="majorHAnsi"/>
        </w:rPr>
      </w:pPr>
    </w:p>
    <w:p w14:paraId="32EBF761" w14:textId="2F9DD63C" w:rsidR="00ED5283" w:rsidRDefault="00ED5283" w:rsidP="001F2B26">
      <w:pPr>
        <w:pStyle w:val="ListParagraph"/>
        <w:numPr>
          <w:ilvl w:val="0"/>
          <w:numId w:val="4"/>
        </w:numPr>
        <w:spacing w:after="0" w:line="240" w:lineRule="auto"/>
        <w:jc w:val="both"/>
        <w:rPr>
          <w:rFonts w:asciiTheme="majorHAnsi" w:hAnsiTheme="majorHAnsi"/>
        </w:rPr>
      </w:pPr>
      <w:r w:rsidRPr="001F2B26">
        <w:rPr>
          <w:rFonts w:asciiTheme="majorHAnsi" w:hAnsiTheme="majorHAnsi"/>
          <w:u w:val="single"/>
        </w:rPr>
        <w:t>2009</w:t>
      </w:r>
      <w:r w:rsidRPr="001F2B26">
        <w:rPr>
          <w:rFonts w:asciiTheme="majorHAnsi" w:hAnsiTheme="majorHAnsi"/>
        </w:rPr>
        <w:t xml:space="preserve">: </w:t>
      </w:r>
      <w:r w:rsidRPr="001F2B26">
        <w:rPr>
          <w:rFonts w:asciiTheme="majorHAnsi" w:hAnsiTheme="majorHAnsi"/>
          <w:b/>
          <w:i/>
        </w:rPr>
        <w:t>R v. Horncastle</w:t>
      </w:r>
      <w:r w:rsidR="00754B79" w:rsidRPr="001F2B26">
        <w:rPr>
          <w:rFonts w:asciiTheme="majorHAnsi" w:hAnsiTheme="majorHAnsi"/>
          <w:b/>
        </w:rPr>
        <w:t>, [2009] UKSC 14</w:t>
      </w:r>
      <w:r w:rsidR="00754B79" w:rsidRPr="001F2B26">
        <w:rPr>
          <w:rFonts w:asciiTheme="majorHAnsi" w:hAnsiTheme="majorHAnsi"/>
        </w:rPr>
        <w:t xml:space="preserve">; In response to the </w:t>
      </w:r>
      <w:proofErr w:type="spellStart"/>
      <w:r w:rsidR="00754B79" w:rsidRPr="001F2B26">
        <w:rPr>
          <w:rFonts w:asciiTheme="majorHAnsi" w:hAnsiTheme="majorHAnsi"/>
        </w:rPr>
        <w:t>ECtHR</w:t>
      </w:r>
      <w:proofErr w:type="spellEnd"/>
      <w:r w:rsidR="00754B79" w:rsidRPr="001F2B26">
        <w:rPr>
          <w:rFonts w:asciiTheme="majorHAnsi" w:hAnsiTheme="majorHAnsi"/>
        </w:rPr>
        <w:t xml:space="preserve"> ruling in </w:t>
      </w:r>
      <w:r w:rsidR="00754B79" w:rsidRPr="001F2B26">
        <w:rPr>
          <w:rFonts w:asciiTheme="majorHAnsi" w:hAnsiTheme="majorHAnsi"/>
          <w:i/>
        </w:rPr>
        <w:t>Al-Khawaja</w:t>
      </w:r>
      <w:r w:rsidR="00CD0401">
        <w:rPr>
          <w:rFonts w:asciiTheme="majorHAnsi" w:hAnsiTheme="majorHAnsi"/>
          <w:i/>
        </w:rPr>
        <w:t xml:space="preserve"> and </w:t>
      </w:r>
      <w:proofErr w:type="spellStart"/>
      <w:r w:rsidR="00CD0401">
        <w:rPr>
          <w:rFonts w:asciiTheme="majorHAnsi" w:hAnsiTheme="majorHAnsi"/>
          <w:i/>
        </w:rPr>
        <w:t>Tahery</w:t>
      </w:r>
      <w:proofErr w:type="spellEnd"/>
      <w:r w:rsidR="00CD0401">
        <w:rPr>
          <w:rFonts w:asciiTheme="majorHAnsi" w:hAnsiTheme="majorHAnsi"/>
          <w:i/>
        </w:rPr>
        <w:t xml:space="preserve"> v. United Kingdom </w:t>
      </w:r>
      <w:r w:rsidR="00CD0401">
        <w:rPr>
          <w:rFonts w:asciiTheme="majorHAnsi" w:hAnsiTheme="majorHAnsi"/>
        </w:rPr>
        <w:t>(2009) 49 EHRR 1 (JUSTICE intervening)</w:t>
      </w:r>
      <w:r w:rsidR="00754B79" w:rsidRPr="001F2B26">
        <w:rPr>
          <w:rFonts w:asciiTheme="majorHAnsi" w:hAnsiTheme="majorHAnsi"/>
        </w:rPr>
        <w:t xml:space="preserve">, where the </w:t>
      </w:r>
      <w:proofErr w:type="spellStart"/>
      <w:r w:rsidR="00754B79" w:rsidRPr="001F2B26">
        <w:rPr>
          <w:rFonts w:asciiTheme="majorHAnsi" w:hAnsiTheme="majorHAnsi"/>
        </w:rPr>
        <w:t>ECtHR</w:t>
      </w:r>
      <w:proofErr w:type="spellEnd"/>
      <w:r w:rsidR="00754B79" w:rsidRPr="001F2B26">
        <w:rPr>
          <w:rFonts w:asciiTheme="majorHAnsi" w:hAnsiTheme="majorHAnsi"/>
        </w:rPr>
        <w:t xml:space="preserve"> ruled against the state and found while it was justifiable to allow hea</w:t>
      </w:r>
      <w:r w:rsidR="00964F55" w:rsidRPr="001F2B26">
        <w:rPr>
          <w:rFonts w:asciiTheme="majorHAnsi" w:hAnsiTheme="majorHAnsi"/>
        </w:rPr>
        <w:t>r</w:t>
      </w:r>
      <w:r w:rsidR="00754B79" w:rsidRPr="001F2B26">
        <w:rPr>
          <w:rFonts w:asciiTheme="majorHAnsi" w:hAnsiTheme="majorHAnsi"/>
        </w:rPr>
        <w:t xml:space="preserve">say evidence in some circumstances, it was likely never permissible for a conviction to be based solely or decisively on such evidence, the Supreme Court unanimously affirmed the decision by the Court of Appeals and dismissed the appeals of several defendants who were convicted on the basis of statements of absent witnesses. The </w:t>
      </w:r>
      <w:proofErr w:type="spellStart"/>
      <w:r w:rsidR="00754B79" w:rsidRPr="001F2B26">
        <w:rPr>
          <w:rFonts w:asciiTheme="majorHAnsi" w:hAnsiTheme="majorHAnsi"/>
        </w:rPr>
        <w:t>ECtHR</w:t>
      </w:r>
      <w:proofErr w:type="spellEnd"/>
      <w:r w:rsidR="00754B79" w:rsidRPr="001F2B26">
        <w:rPr>
          <w:rFonts w:asciiTheme="majorHAnsi" w:hAnsiTheme="majorHAnsi"/>
        </w:rPr>
        <w:t xml:space="preserve"> later found</w:t>
      </w:r>
      <w:r w:rsidR="00CD0401">
        <w:rPr>
          <w:rFonts w:asciiTheme="majorHAnsi" w:hAnsiTheme="majorHAnsi"/>
        </w:rPr>
        <w:t xml:space="preserve"> </w:t>
      </w:r>
      <w:r w:rsidR="00CD0401" w:rsidRPr="00CD0401">
        <w:rPr>
          <w:rFonts w:asciiTheme="majorHAnsi" w:hAnsiTheme="majorHAnsi"/>
        </w:rPr>
        <w:t>(</w:t>
      </w:r>
      <w:r w:rsidR="00CD0401" w:rsidRPr="00CD0401">
        <w:rPr>
          <w:rFonts w:asciiTheme="majorHAnsi" w:hAnsiTheme="majorHAnsi"/>
        </w:rPr>
        <w:t>[201</w:t>
      </w:r>
      <w:r w:rsidR="00CD0401" w:rsidRPr="00CD0401">
        <w:rPr>
          <w:rFonts w:asciiTheme="majorHAnsi" w:hAnsiTheme="majorHAnsi"/>
        </w:rPr>
        <w:t>5</w:t>
      </w:r>
      <w:r w:rsidR="00CD0401" w:rsidRPr="00CD0401">
        <w:rPr>
          <w:rFonts w:asciiTheme="majorHAnsi" w:hAnsiTheme="majorHAnsi"/>
        </w:rPr>
        <w:t xml:space="preserve">] </w:t>
      </w:r>
      <w:r w:rsidR="00CD0401" w:rsidRPr="00CD0401">
        <w:rPr>
          <w:rFonts w:asciiTheme="majorHAnsi" w:hAnsiTheme="majorHAnsi"/>
        </w:rPr>
        <w:t xml:space="preserve">60 </w:t>
      </w:r>
      <w:r w:rsidR="00CD0401" w:rsidRPr="00CD0401">
        <w:rPr>
          <w:rFonts w:asciiTheme="majorHAnsi" w:hAnsiTheme="majorHAnsi"/>
        </w:rPr>
        <w:t>EHRR 31</w:t>
      </w:r>
      <w:r w:rsidR="00CD0401">
        <w:rPr>
          <w:rFonts w:asciiTheme="majorHAnsi" w:hAnsiTheme="majorHAnsi"/>
        </w:rPr>
        <w:t>)</w:t>
      </w:r>
      <w:r w:rsidR="00CD0401">
        <w:rPr>
          <w:rFonts w:asciiTheme="majorHAnsi" w:hAnsiTheme="majorHAnsi"/>
        </w:rPr>
        <w:t xml:space="preserve"> </w:t>
      </w:r>
      <w:r w:rsidR="00754B79" w:rsidRPr="001F2B26">
        <w:rPr>
          <w:rFonts w:asciiTheme="majorHAnsi" w:hAnsiTheme="majorHAnsi"/>
        </w:rPr>
        <w:t xml:space="preserve">no breach of Article 6 rights </w:t>
      </w:r>
      <w:r w:rsidR="00CD0401">
        <w:rPr>
          <w:rFonts w:asciiTheme="majorHAnsi" w:hAnsiTheme="majorHAnsi"/>
        </w:rPr>
        <w:t xml:space="preserve">in relation to the </w:t>
      </w:r>
      <w:r w:rsidR="00754B79" w:rsidRPr="001F2B26">
        <w:rPr>
          <w:rFonts w:asciiTheme="majorHAnsi" w:hAnsiTheme="majorHAnsi"/>
        </w:rPr>
        <w:t xml:space="preserve">evidence admitted from absent victims.  </w:t>
      </w:r>
    </w:p>
    <w:p w14:paraId="6BBD8661" w14:textId="77777777" w:rsidR="00CD0401" w:rsidRPr="00CD0401" w:rsidRDefault="00CD0401" w:rsidP="00CD0401">
      <w:pPr>
        <w:pStyle w:val="ListParagraph"/>
        <w:rPr>
          <w:rFonts w:asciiTheme="majorHAnsi" w:hAnsiTheme="majorHAnsi"/>
        </w:rPr>
      </w:pPr>
    </w:p>
    <w:p w14:paraId="217E09B3" w14:textId="77777777" w:rsidR="0004295A" w:rsidRPr="001F2B26" w:rsidRDefault="0004295A" w:rsidP="001F2B26">
      <w:pPr>
        <w:pStyle w:val="ListParagraph"/>
        <w:numPr>
          <w:ilvl w:val="0"/>
          <w:numId w:val="4"/>
        </w:numPr>
        <w:spacing w:after="0" w:line="240" w:lineRule="auto"/>
        <w:jc w:val="both"/>
        <w:rPr>
          <w:rFonts w:asciiTheme="majorHAnsi" w:hAnsiTheme="majorHAnsi"/>
        </w:rPr>
      </w:pPr>
      <w:r w:rsidRPr="001F2B26">
        <w:rPr>
          <w:rFonts w:asciiTheme="majorHAnsi" w:hAnsiTheme="majorHAnsi"/>
          <w:u w:val="single"/>
        </w:rPr>
        <w:t>2001</w:t>
      </w:r>
      <w:r w:rsidRPr="001F2B26">
        <w:rPr>
          <w:rFonts w:asciiTheme="majorHAnsi" w:hAnsiTheme="majorHAnsi"/>
        </w:rPr>
        <w:t>:</w:t>
      </w:r>
      <w:r w:rsidR="006E7A87" w:rsidRPr="001F2B26">
        <w:rPr>
          <w:rFonts w:asciiTheme="majorHAnsi" w:hAnsiTheme="majorHAnsi"/>
        </w:rPr>
        <w:t xml:space="preserve"> See</w:t>
      </w:r>
      <w:r w:rsidRPr="001F2B26">
        <w:rPr>
          <w:rFonts w:asciiTheme="majorHAnsi" w:hAnsiTheme="majorHAnsi"/>
        </w:rPr>
        <w:t xml:space="preserve"> </w:t>
      </w:r>
      <w:r w:rsidRPr="001F2B26">
        <w:rPr>
          <w:rFonts w:asciiTheme="majorHAnsi" w:hAnsiTheme="majorHAnsi"/>
          <w:b/>
          <w:i/>
        </w:rPr>
        <w:t>R v. H (Assault of Child: Reasonable Chastisement</w:t>
      </w:r>
      <w:r w:rsidRPr="001F2B26">
        <w:rPr>
          <w:rFonts w:asciiTheme="majorHAnsi" w:hAnsiTheme="majorHAnsi"/>
          <w:b/>
        </w:rPr>
        <w:t>)</w:t>
      </w:r>
      <w:r w:rsidR="00824116" w:rsidRPr="001F2B26">
        <w:rPr>
          <w:rFonts w:asciiTheme="majorHAnsi" w:hAnsiTheme="majorHAnsi"/>
          <w:b/>
        </w:rPr>
        <w:t>, EWCA Crim 1024</w:t>
      </w:r>
      <w:r w:rsidR="006E7A87" w:rsidRPr="001F2B26">
        <w:rPr>
          <w:rFonts w:asciiTheme="majorHAnsi" w:hAnsiTheme="majorHAnsi"/>
        </w:rPr>
        <w:t xml:space="preserve">, above </w:t>
      </w:r>
    </w:p>
    <w:p w14:paraId="731063EC" w14:textId="77777777" w:rsidR="00CD0401" w:rsidRDefault="00CD0401" w:rsidP="001F2B26">
      <w:pPr>
        <w:spacing w:after="0" w:line="240" w:lineRule="auto"/>
        <w:jc w:val="both"/>
        <w:rPr>
          <w:rFonts w:asciiTheme="majorHAnsi" w:hAnsiTheme="majorHAnsi"/>
          <w:b/>
        </w:rPr>
      </w:pPr>
    </w:p>
    <w:p w14:paraId="3E8A3AEA" w14:textId="5E45FCC5" w:rsidR="009A18B5" w:rsidRDefault="009A18B5" w:rsidP="001F2B26">
      <w:pPr>
        <w:spacing w:after="0" w:line="240" w:lineRule="auto"/>
        <w:jc w:val="both"/>
        <w:rPr>
          <w:rFonts w:asciiTheme="majorHAnsi" w:hAnsiTheme="majorHAnsi"/>
          <w:b/>
        </w:rPr>
      </w:pPr>
      <w:r w:rsidRPr="001F2B26">
        <w:rPr>
          <w:rFonts w:asciiTheme="majorHAnsi" w:hAnsiTheme="majorHAnsi"/>
          <w:b/>
        </w:rPr>
        <w:t>Art</w:t>
      </w:r>
      <w:r w:rsidR="00CD0401">
        <w:rPr>
          <w:rFonts w:asciiTheme="majorHAnsi" w:hAnsiTheme="majorHAnsi"/>
          <w:b/>
        </w:rPr>
        <w:t>icle 7 – no punishment without law</w:t>
      </w:r>
    </w:p>
    <w:p w14:paraId="38A0CDF2" w14:textId="77777777" w:rsidR="00CD0401" w:rsidRPr="001F2B26" w:rsidRDefault="00CD0401" w:rsidP="001F2B26">
      <w:pPr>
        <w:spacing w:after="0" w:line="240" w:lineRule="auto"/>
        <w:jc w:val="both"/>
        <w:rPr>
          <w:rFonts w:asciiTheme="majorHAnsi" w:hAnsiTheme="majorHAnsi"/>
        </w:rPr>
      </w:pPr>
    </w:p>
    <w:p w14:paraId="5802F487" w14:textId="77777777" w:rsidR="009A18B5" w:rsidRDefault="00DD00F2" w:rsidP="001F2B26">
      <w:pPr>
        <w:pStyle w:val="ListParagraph"/>
        <w:numPr>
          <w:ilvl w:val="0"/>
          <w:numId w:val="5"/>
        </w:numPr>
        <w:spacing w:after="0" w:line="240" w:lineRule="auto"/>
        <w:jc w:val="both"/>
        <w:rPr>
          <w:rFonts w:asciiTheme="majorHAnsi" w:hAnsiTheme="majorHAnsi"/>
        </w:rPr>
      </w:pPr>
      <w:r w:rsidRPr="001F2B26">
        <w:rPr>
          <w:rFonts w:asciiTheme="majorHAnsi" w:hAnsiTheme="majorHAnsi"/>
          <w:u w:val="single"/>
        </w:rPr>
        <w:t>2001</w:t>
      </w:r>
      <w:r w:rsidRPr="001F2B26">
        <w:rPr>
          <w:rFonts w:asciiTheme="majorHAnsi" w:hAnsiTheme="majorHAnsi"/>
        </w:rPr>
        <w:t xml:space="preserve">: See </w:t>
      </w:r>
      <w:r w:rsidRPr="001F2B26">
        <w:rPr>
          <w:rFonts w:asciiTheme="majorHAnsi" w:hAnsiTheme="majorHAnsi"/>
          <w:b/>
          <w:i/>
        </w:rPr>
        <w:t>R v. H (Assault of Child: Reasonable Chastisement)</w:t>
      </w:r>
      <w:r w:rsidRPr="001F2B26">
        <w:rPr>
          <w:rFonts w:asciiTheme="majorHAnsi" w:hAnsiTheme="majorHAnsi"/>
          <w:b/>
        </w:rPr>
        <w:t>, [2001] EWCA Crim 1024</w:t>
      </w:r>
      <w:r w:rsidR="00AB2F02" w:rsidRPr="001F2B26">
        <w:rPr>
          <w:rFonts w:asciiTheme="majorHAnsi" w:hAnsiTheme="majorHAnsi"/>
        </w:rPr>
        <w:t xml:space="preserve">, above </w:t>
      </w:r>
    </w:p>
    <w:p w14:paraId="50BE56DA" w14:textId="77777777" w:rsidR="00B36A8F" w:rsidRPr="001F2B26" w:rsidRDefault="00B36A8F" w:rsidP="00B36A8F">
      <w:pPr>
        <w:pStyle w:val="ListParagraph"/>
        <w:spacing w:after="0" w:line="240" w:lineRule="auto"/>
        <w:ind w:left="644"/>
        <w:jc w:val="both"/>
        <w:rPr>
          <w:rFonts w:asciiTheme="majorHAnsi" w:hAnsiTheme="majorHAnsi"/>
        </w:rPr>
      </w:pPr>
    </w:p>
    <w:p w14:paraId="046BD0DD" w14:textId="75EC5868" w:rsidR="009A18B5" w:rsidRDefault="009A18B5" w:rsidP="001F2B26">
      <w:pPr>
        <w:spacing w:after="0" w:line="240" w:lineRule="auto"/>
        <w:jc w:val="both"/>
        <w:rPr>
          <w:rFonts w:asciiTheme="majorHAnsi" w:hAnsiTheme="majorHAnsi"/>
        </w:rPr>
      </w:pPr>
      <w:r w:rsidRPr="00B36A8F">
        <w:rPr>
          <w:rFonts w:asciiTheme="majorHAnsi" w:hAnsiTheme="majorHAnsi"/>
          <w:b/>
        </w:rPr>
        <w:t>Article 8</w:t>
      </w:r>
      <w:r w:rsidR="00B36A8F">
        <w:rPr>
          <w:rFonts w:asciiTheme="majorHAnsi" w:hAnsiTheme="majorHAnsi"/>
          <w:b/>
        </w:rPr>
        <w:t xml:space="preserve"> </w:t>
      </w:r>
      <w:proofErr w:type="gramStart"/>
      <w:r w:rsidR="00B36A8F">
        <w:rPr>
          <w:rFonts w:asciiTheme="majorHAnsi" w:hAnsiTheme="majorHAnsi"/>
          <w:b/>
        </w:rPr>
        <w:t xml:space="preserve">- </w:t>
      </w:r>
      <w:r w:rsidRPr="001F2B26">
        <w:rPr>
          <w:rFonts w:asciiTheme="majorHAnsi" w:hAnsiTheme="majorHAnsi"/>
          <w:b/>
        </w:rPr>
        <w:t xml:space="preserve"> </w:t>
      </w:r>
      <w:r w:rsidR="00B36A8F">
        <w:rPr>
          <w:rFonts w:asciiTheme="majorHAnsi" w:hAnsiTheme="majorHAnsi"/>
          <w:b/>
        </w:rPr>
        <w:t>right</w:t>
      </w:r>
      <w:proofErr w:type="gramEnd"/>
      <w:r w:rsidR="00B36A8F">
        <w:rPr>
          <w:rFonts w:asciiTheme="majorHAnsi" w:hAnsiTheme="majorHAnsi"/>
          <w:b/>
        </w:rPr>
        <w:t xml:space="preserve"> to respect for private and family life</w:t>
      </w:r>
    </w:p>
    <w:p w14:paraId="70011E17" w14:textId="77777777" w:rsidR="00B36A8F" w:rsidRPr="001F2B26" w:rsidRDefault="00B36A8F" w:rsidP="001F2B26">
      <w:pPr>
        <w:spacing w:after="0" w:line="240" w:lineRule="auto"/>
        <w:jc w:val="both"/>
        <w:rPr>
          <w:rFonts w:asciiTheme="majorHAnsi" w:hAnsiTheme="majorHAnsi"/>
        </w:rPr>
      </w:pPr>
    </w:p>
    <w:p w14:paraId="13859727" w14:textId="77777777" w:rsidR="00B36A8F" w:rsidRDefault="004018D9" w:rsidP="001F2B26">
      <w:pPr>
        <w:pStyle w:val="ListParagraph"/>
        <w:numPr>
          <w:ilvl w:val="0"/>
          <w:numId w:val="5"/>
        </w:numPr>
        <w:spacing w:after="0" w:line="240" w:lineRule="auto"/>
        <w:jc w:val="both"/>
        <w:rPr>
          <w:rFonts w:asciiTheme="majorHAnsi" w:hAnsiTheme="majorHAnsi"/>
        </w:rPr>
      </w:pPr>
      <w:r w:rsidRPr="001F2B26">
        <w:rPr>
          <w:rFonts w:asciiTheme="majorHAnsi" w:hAnsiTheme="majorHAnsi"/>
          <w:u w:val="single"/>
        </w:rPr>
        <w:t>2015</w:t>
      </w:r>
      <w:r w:rsidRPr="001F2B26">
        <w:rPr>
          <w:rFonts w:asciiTheme="majorHAnsi" w:hAnsiTheme="majorHAnsi"/>
        </w:rPr>
        <w:t xml:space="preserve">: </w:t>
      </w:r>
      <w:r w:rsidR="00E96D7A" w:rsidRPr="001F2B26">
        <w:rPr>
          <w:rFonts w:asciiTheme="majorHAnsi" w:hAnsiTheme="majorHAnsi"/>
          <w:b/>
          <w:i/>
        </w:rPr>
        <w:t>R (on the application of T</w:t>
      </w:r>
      <w:r w:rsidR="008C3498" w:rsidRPr="001F2B26">
        <w:rPr>
          <w:rFonts w:asciiTheme="majorHAnsi" w:hAnsiTheme="majorHAnsi"/>
          <w:b/>
          <w:i/>
        </w:rPr>
        <w:t>)</w:t>
      </w:r>
      <w:r w:rsidR="00E96D7A" w:rsidRPr="001F2B26">
        <w:rPr>
          <w:rFonts w:asciiTheme="majorHAnsi" w:hAnsiTheme="majorHAnsi"/>
          <w:b/>
          <w:i/>
        </w:rPr>
        <w:t xml:space="preserve"> (AP)</w:t>
      </w:r>
      <w:r w:rsidR="008C3498" w:rsidRPr="001F2B26">
        <w:rPr>
          <w:rFonts w:asciiTheme="majorHAnsi" w:hAnsiTheme="majorHAnsi"/>
          <w:b/>
          <w:i/>
        </w:rPr>
        <w:t xml:space="preserve"> v. Commissioner of Police of the Metropolis</w:t>
      </w:r>
      <w:r w:rsidR="008C3498" w:rsidRPr="001F2B26">
        <w:rPr>
          <w:rFonts w:asciiTheme="majorHAnsi" w:hAnsiTheme="majorHAnsi"/>
          <w:b/>
        </w:rPr>
        <w:t>, [</w:t>
      </w:r>
      <w:r w:rsidR="00E96D7A" w:rsidRPr="001F2B26">
        <w:rPr>
          <w:rFonts w:asciiTheme="majorHAnsi" w:hAnsiTheme="majorHAnsi"/>
          <w:b/>
        </w:rPr>
        <w:t>2015</w:t>
      </w:r>
      <w:r w:rsidR="008C3498" w:rsidRPr="001F2B26">
        <w:rPr>
          <w:rFonts w:asciiTheme="majorHAnsi" w:hAnsiTheme="majorHAnsi"/>
          <w:b/>
        </w:rPr>
        <w:t xml:space="preserve">] </w:t>
      </w:r>
      <w:r w:rsidR="00E96D7A" w:rsidRPr="001F2B26">
        <w:rPr>
          <w:rFonts w:asciiTheme="majorHAnsi" w:hAnsiTheme="majorHAnsi"/>
          <w:b/>
        </w:rPr>
        <w:t>UKSC 9;</w:t>
      </w:r>
      <w:r w:rsidR="008C3498" w:rsidRPr="001F2B26">
        <w:rPr>
          <w:rFonts w:asciiTheme="majorHAnsi" w:hAnsiTheme="majorHAnsi"/>
        </w:rPr>
        <w:t xml:space="preserve"> </w:t>
      </w:r>
      <w:r w:rsidR="009679C3" w:rsidRPr="001F2B26">
        <w:rPr>
          <w:rFonts w:asciiTheme="majorHAnsi" w:hAnsiTheme="majorHAnsi"/>
        </w:rPr>
        <w:t xml:space="preserve">Two individuals </w:t>
      </w:r>
      <w:r w:rsidR="00D40539" w:rsidRPr="001F2B26">
        <w:rPr>
          <w:rFonts w:asciiTheme="majorHAnsi" w:hAnsiTheme="majorHAnsi"/>
        </w:rPr>
        <w:t>who had committed</w:t>
      </w:r>
      <w:r w:rsidR="009679C3" w:rsidRPr="001F2B26">
        <w:rPr>
          <w:rFonts w:asciiTheme="majorHAnsi" w:hAnsiTheme="majorHAnsi"/>
        </w:rPr>
        <w:t xml:space="preserve"> crimes years ago</w:t>
      </w:r>
      <w:r w:rsidR="00D40539" w:rsidRPr="001F2B26">
        <w:rPr>
          <w:rFonts w:asciiTheme="majorHAnsi" w:hAnsiTheme="majorHAnsi"/>
        </w:rPr>
        <w:t xml:space="preserve"> wanted</w:t>
      </w:r>
      <w:r w:rsidR="009679C3" w:rsidRPr="001F2B26">
        <w:rPr>
          <w:rFonts w:asciiTheme="majorHAnsi" w:hAnsiTheme="majorHAnsi"/>
        </w:rPr>
        <w:t xml:space="preserve"> to be removed fr</w:t>
      </w:r>
      <w:r w:rsidR="00E96D7A" w:rsidRPr="001F2B26">
        <w:rPr>
          <w:rFonts w:asciiTheme="majorHAnsi" w:hAnsiTheme="majorHAnsi"/>
        </w:rPr>
        <w:t>om the national police databas</w:t>
      </w:r>
      <w:r w:rsidR="00790D36" w:rsidRPr="001F2B26">
        <w:rPr>
          <w:rFonts w:asciiTheme="majorHAnsi" w:hAnsiTheme="majorHAnsi"/>
        </w:rPr>
        <w:t>e</w:t>
      </w:r>
      <w:r w:rsidR="009679C3" w:rsidRPr="001F2B26">
        <w:rPr>
          <w:rFonts w:asciiTheme="majorHAnsi" w:hAnsiTheme="majorHAnsi"/>
        </w:rPr>
        <w:t xml:space="preserve">. </w:t>
      </w:r>
      <w:r w:rsidR="00403986" w:rsidRPr="001F2B26">
        <w:rPr>
          <w:rFonts w:asciiTheme="majorHAnsi" w:hAnsiTheme="majorHAnsi"/>
        </w:rPr>
        <w:t xml:space="preserve">The </w:t>
      </w:r>
      <w:r w:rsidR="00E96D7A" w:rsidRPr="001F2B26">
        <w:rPr>
          <w:rFonts w:asciiTheme="majorHAnsi" w:hAnsiTheme="majorHAnsi"/>
        </w:rPr>
        <w:t xml:space="preserve">Supreme Court determined that the systematic collection and retention by the police of data about the respondents </w:t>
      </w:r>
      <w:r w:rsidR="00B36A8F">
        <w:rPr>
          <w:rFonts w:asciiTheme="majorHAnsi" w:hAnsiTheme="majorHAnsi"/>
        </w:rPr>
        <w:t>disproportionately interfered with</w:t>
      </w:r>
      <w:r w:rsidR="00E96D7A" w:rsidRPr="001F2B26">
        <w:rPr>
          <w:rFonts w:asciiTheme="majorHAnsi" w:hAnsiTheme="majorHAnsi"/>
        </w:rPr>
        <w:t xml:space="preserve"> their rights to privacy</w:t>
      </w:r>
      <w:r w:rsidR="00FB63D1" w:rsidRPr="001F2B26">
        <w:rPr>
          <w:rFonts w:asciiTheme="majorHAnsi" w:hAnsiTheme="majorHAnsi"/>
        </w:rPr>
        <w:t>.</w:t>
      </w:r>
    </w:p>
    <w:p w14:paraId="37385E64" w14:textId="0704782E" w:rsidR="004018D9" w:rsidRPr="001F2B26" w:rsidRDefault="00FB63D1" w:rsidP="00B36A8F">
      <w:pPr>
        <w:pStyle w:val="ListParagraph"/>
        <w:spacing w:after="0" w:line="240" w:lineRule="auto"/>
        <w:ind w:left="644"/>
        <w:jc w:val="both"/>
        <w:rPr>
          <w:rFonts w:asciiTheme="majorHAnsi" w:hAnsiTheme="majorHAnsi"/>
        </w:rPr>
      </w:pPr>
      <w:r w:rsidRPr="001F2B26">
        <w:rPr>
          <w:rFonts w:asciiTheme="majorHAnsi" w:hAnsiTheme="majorHAnsi"/>
        </w:rPr>
        <w:t xml:space="preserve"> </w:t>
      </w:r>
    </w:p>
    <w:p w14:paraId="0889ED56" w14:textId="77777777" w:rsidR="0016320A" w:rsidRDefault="0016320A" w:rsidP="001F2B26">
      <w:pPr>
        <w:pStyle w:val="ListParagraph"/>
        <w:numPr>
          <w:ilvl w:val="0"/>
          <w:numId w:val="5"/>
        </w:numPr>
        <w:spacing w:after="0" w:line="240" w:lineRule="auto"/>
        <w:jc w:val="both"/>
        <w:rPr>
          <w:rFonts w:asciiTheme="majorHAnsi" w:hAnsiTheme="majorHAnsi"/>
        </w:rPr>
      </w:pPr>
      <w:r w:rsidRPr="001F2B26">
        <w:rPr>
          <w:rFonts w:asciiTheme="majorHAnsi" w:hAnsiTheme="majorHAnsi"/>
          <w:u w:val="single"/>
        </w:rPr>
        <w:t>2013</w:t>
      </w:r>
      <w:r w:rsidRPr="001F2B26">
        <w:rPr>
          <w:rFonts w:asciiTheme="majorHAnsi" w:hAnsiTheme="majorHAnsi"/>
        </w:rPr>
        <w:t xml:space="preserve">: </w:t>
      </w:r>
      <w:r w:rsidRPr="001F2B26">
        <w:rPr>
          <w:rFonts w:asciiTheme="majorHAnsi" w:hAnsiTheme="majorHAnsi"/>
          <w:b/>
          <w:i/>
        </w:rPr>
        <w:t xml:space="preserve">L &amp; </w:t>
      </w:r>
      <w:proofErr w:type="spellStart"/>
      <w:r w:rsidRPr="001F2B26">
        <w:rPr>
          <w:rFonts w:asciiTheme="majorHAnsi" w:hAnsiTheme="majorHAnsi"/>
          <w:b/>
          <w:i/>
        </w:rPr>
        <w:t>Ors</w:t>
      </w:r>
      <w:proofErr w:type="spellEnd"/>
      <w:r w:rsidRPr="001F2B26">
        <w:rPr>
          <w:rFonts w:asciiTheme="majorHAnsi" w:hAnsiTheme="majorHAnsi"/>
          <w:b/>
          <w:i/>
        </w:rPr>
        <w:t xml:space="preserve"> v The Children’s Commissioner v. England &amp; Anor</w:t>
      </w:r>
      <w:r w:rsidR="00FB63D1" w:rsidRPr="001F2B26">
        <w:rPr>
          <w:rFonts w:asciiTheme="majorHAnsi" w:hAnsiTheme="majorHAnsi"/>
          <w:b/>
        </w:rPr>
        <w:t>, [2013] EWCA Crim 991</w:t>
      </w:r>
      <w:r w:rsidR="00FB63D1" w:rsidRPr="001F2B26">
        <w:rPr>
          <w:rFonts w:asciiTheme="majorHAnsi" w:hAnsiTheme="majorHAnsi"/>
        </w:rPr>
        <w:t xml:space="preserve">; See “R v. L; [2013] EWCA Crim 991” in Article 4 section above </w:t>
      </w:r>
    </w:p>
    <w:p w14:paraId="5D9ED30D" w14:textId="77777777" w:rsidR="00A06D5C" w:rsidRPr="00A06D5C" w:rsidRDefault="00A06D5C" w:rsidP="00A06D5C">
      <w:pPr>
        <w:pStyle w:val="ListParagraph"/>
        <w:rPr>
          <w:rFonts w:asciiTheme="majorHAnsi" w:hAnsiTheme="majorHAnsi"/>
        </w:rPr>
      </w:pPr>
    </w:p>
    <w:p w14:paraId="1C4BB84B" w14:textId="32D969AE" w:rsidR="008A3021" w:rsidRDefault="008A3021" w:rsidP="001F2B26">
      <w:pPr>
        <w:pStyle w:val="ListParagraph"/>
        <w:numPr>
          <w:ilvl w:val="0"/>
          <w:numId w:val="5"/>
        </w:numPr>
        <w:spacing w:after="0" w:line="240" w:lineRule="auto"/>
        <w:jc w:val="both"/>
        <w:rPr>
          <w:rFonts w:asciiTheme="majorHAnsi" w:hAnsiTheme="majorHAnsi"/>
        </w:rPr>
      </w:pPr>
      <w:r w:rsidRPr="001F2B26">
        <w:rPr>
          <w:rFonts w:asciiTheme="majorHAnsi" w:hAnsiTheme="majorHAnsi"/>
          <w:u w:val="single"/>
        </w:rPr>
        <w:t>2010</w:t>
      </w:r>
      <w:r w:rsidRPr="001F2B26">
        <w:rPr>
          <w:rFonts w:asciiTheme="majorHAnsi" w:hAnsiTheme="majorHAnsi"/>
        </w:rPr>
        <w:t xml:space="preserve">: </w:t>
      </w:r>
      <w:proofErr w:type="spellStart"/>
      <w:r w:rsidRPr="001F2B26">
        <w:rPr>
          <w:rFonts w:asciiTheme="majorHAnsi" w:hAnsiTheme="majorHAnsi"/>
          <w:b/>
          <w:i/>
        </w:rPr>
        <w:t>Gillan</w:t>
      </w:r>
      <w:proofErr w:type="spellEnd"/>
      <w:r w:rsidRPr="001F2B26">
        <w:rPr>
          <w:rFonts w:asciiTheme="majorHAnsi" w:hAnsiTheme="majorHAnsi"/>
          <w:b/>
          <w:i/>
        </w:rPr>
        <w:t xml:space="preserve"> &amp; Quinton v. UK</w:t>
      </w:r>
      <w:r w:rsidR="00D83690" w:rsidRPr="001F2B26">
        <w:rPr>
          <w:rFonts w:asciiTheme="majorHAnsi" w:hAnsiTheme="majorHAnsi"/>
          <w:b/>
          <w:i/>
        </w:rPr>
        <w:t xml:space="preserve"> </w:t>
      </w:r>
      <w:r w:rsidR="00D83690" w:rsidRPr="001F2B26">
        <w:rPr>
          <w:rFonts w:asciiTheme="majorHAnsi" w:hAnsiTheme="majorHAnsi"/>
          <w:b/>
        </w:rPr>
        <w:t>(4158/05)</w:t>
      </w:r>
      <w:r w:rsidR="00D83690" w:rsidRPr="001F2B26">
        <w:rPr>
          <w:rFonts w:asciiTheme="majorHAnsi" w:hAnsiTheme="majorHAnsi"/>
        </w:rPr>
        <w:t xml:space="preserve">, </w:t>
      </w:r>
      <w:r w:rsidR="00D83690" w:rsidRPr="001F2B26">
        <w:rPr>
          <w:rFonts w:asciiTheme="majorHAnsi" w:hAnsiTheme="majorHAnsi"/>
          <w:b/>
        </w:rPr>
        <w:t>[2010] ECHR 28</w:t>
      </w:r>
      <w:r w:rsidR="006E2395" w:rsidRPr="001F2B26">
        <w:rPr>
          <w:rFonts w:asciiTheme="majorHAnsi" w:hAnsiTheme="majorHAnsi"/>
          <w:b/>
        </w:rPr>
        <w:t xml:space="preserve">; </w:t>
      </w:r>
      <w:r w:rsidR="006E2395" w:rsidRPr="001F2B26">
        <w:rPr>
          <w:rFonts w:asciiTheme="majorHAnsi" w:hAnsiTheme="majorHAnsi"/>
        </w:rPr>
        <w:t xml:space="preserve">Where two protestors were stopped and searched by the police without </w:t>
      </w:r>
      <w:r w:rsidR="00B36A8F">
        <w:rPr>
          <w:rFonts w:asciiTheme="majorHAnsi" w:hAnsiTheme="majorHAnsi"/>
        </w:rPr>
        <w:t xml:space="preserve">the requirement to show </w:t>
      </w:r>
      <w:r w:rsidR="006E2395" w:rsidRPr="001F2B26">
        <w:rPr>
          <w:rFonts w:asciiTheme="majorHAnsi" w:hAnsiTheme="majorHAnsi"/>
        </w:rPr>
        <w:t xml:space="preserve">reasonable </w:t>
      </w:r>
      <w:r w:rsidR="00B36A8F">
        <w:rPr>
          <w:rFonts w:asciiTheme="majorHAnsi" w:hAnsiTheme="majorHAnsi"/>
        </w:rPr>
        <w:t xml:space="preserve">grounds for </w:t>
      </w:r>
      <w:r w:rsidR="006E2395" w:rsidRPr="001F2B26">
        <w:rPr>
          <w:rFonts w:asciiTheme="majorHAnsi" w:hAnsiTheme="majorHAnsi"/>
        </w:rPr>
        <w:t xml:space="preserve">suspicion under the Terrorism Act 2000 </w:t>
      </w:r>
      <w:r w:rsidR="00B36A8F">
        <w:rPr>
          <w:rFonts w:asciiTheme="majorHAnsi" w:hAnsiTheme="majorHAnsi"/>
        </w:rPr>
        <w:t xml:space="preserve">the </w:t>
      </w:r>
      <w:proofErr w:type="spellStart"/>
      <w:r w:rsidR="00B36A8F">
        <w:rPr>
          <w:rFonts w:asciiTheme="majorHAnsi" w:hAnsiTheme="majorHAnsi"/>
        </w:rPr>
        <w:t>ECtHR</w:t>
      </w:r>
      <w:proofErr w:type="spellEnd"/>
      <w:r w:rsidR="00B36A8F">
        <w:rPr>
          <w:rFonts w:asciiTheme="majorHAnsi" w:hAnsiTheme="majorHAnsi"/>
        </w:rPr>
        <w:t xml:space="preserve"> held that there was a violation of art. 8</w:t>
      </w:r>
      <w:r w:rsidR="006E2395" w:rsidRPr="001F2B26">
        <w:rPr>
          <w:rFonts w:asciiTheme="majorHAnsi" w:hAnsiTheme="majorHAnsi"/>
        </w:rPr>
        <w:t>. The House of Lords had dism</w:t>
      </w:r>
      <w:r w:rsidR="00B36A8F">
        <w:rPr>
          <w:rFonts w:asciiTheme="majorHAnsi" w:hAnsiTheme="majorHAnsi"/>
        </w:rPr>
        <w:t>issed the applicant’s appeal</w:t>
      </w:r>
      <w:r w:rsidR="006E2395" w:rsidRPr="001F2B26">
        <w:rPr>
          <w:rFonts w:asciiTheme="majorHAnsi" w:hAnsiTheme="majorHAnsi"/>
        </w:rPr>
        <w:t xml:space="preserve">, </w:t>
      </w:r>
      <w:r w:rsidR="00255869" w:rsidRPr="001F2B26">
        <w:rPr>
          <w:rFonts w:asciiTheme="majorHAnsi" w:hAnsiTheme="majorHAnsi"/>
        </w:rPr>
        <w:t>believing that the “superficial search of the person and an opening of bags, of the kind to which passengers uncomplainingly submit at airports, for example, can scarcely be said to reach [the level of violating Art.</w:t>
      </w:r>
      <w:r w:rsidR="00B36A8F">
        <w:rPr>
          <w:rFonts w:asciiTheme="majorHAnsi" w:hAnsiTheme="majorHAnsi"/>
        </w:rPr>
        <w:t xml:space="preserve"> </w:t>
      </w:r>
      <w:r w:rsidR="00255869" w:rsidRPr="001F2B26">
        <w:rPr>
          <w:rFonts w:asciiTheme="majorHAnsi" w:hAnsiTheme="majorHAnsi"/>
        </w:rPr>
        <w:t>8].”</w:t>
      </w:r>
      <w:r w:rsidR="006E2395" w:rsidRPr="001F2B26">
        <w:rPr>
          <w:rFonts w:asciiTheme="majorHAnsi" w:hAnsiTheme="majorHAnsi"/>
        </w:rPr>
        <w:t xml:space="preserve"> </w:t>
      </w:r>
      <w:r w:rsidR="00B36A8F">
        <w:rPr>
          <w:rFonts w:asciiTheme="majorHAnsi" w:hAnsiTheme="majorHAnsi"/>
        </w:rPr>
        <w:t>However</w:t>
      </w:r>
      <w:r w:rsidR="00A06D5C">
        <w:rPr>
          <w:rFonts w:asciiTheme="majorHAnsi" w:hAnsiTheme="majorHAnsi"/>
        </w:rPr>
        <w:t>,</w:t>
      </w:r>
      <w:r w:rsidR="00B36A8F">
        <w:rPr>
          <w:rFonts w:asciiTheme="majorHAnsi" w:hAnsiTheme="majorHAnsi"/>
        </w:rPr>
        <w:t xml:space="preserve"> the Strasbourg Cou</w:t>
      </w:r>
      <w:r w:rsidR="00B36A8F" w:rsidRPr="00A06D5C">
        <w:rPr>
          <w:rFonts w:asciiTheme="majorHAnsi" w:hAnsiTheme="majorHAnsi"/>
        </w:rPr>
        <w:t xml:space="preserve">rt held </w:t>
      </w:r>
      <w:r w:rsidR="00A06D5C" w:rsidRPr="00A06D5C">
        <w:rPr>
          <w:rFonts w:asciiTheme="majorHAnsi" w:hAnsiTheme="majorHAnsi"/>
        </w:rPr>
        <w:t>that n</w:t>
      </w:r>
      <w:proofErr w:type="spellStart"/>
      <w:r w:rsidR="00A06D5C" w:rsidRPr="00A06D5C">
        <w:rPr>
          <w:rFonts w:asciiTheme="majorHAnsi" w:hAnsiTheme="majorHAnsi"/>
          <w:lang w:val="en-US"/>
        </w:rPr>
        <w:t>ational</w:t>
      </w:r>
      <w:proofErr w:type="spellEnd"/>
      <w:r w:rsidR="00A06D5C" w:rsidRPr="00A06D5C">
        <w:rPr>
          <w:rFonts w:asciiTheme="majorHAnsi" w:hAnsiTheme="majorHAnsi"/>
          <w:lang w:val="en-US"/>
        </w:rPr>
        <w:t xml:space="preserve"> law did not provide adequate safeguards against arbitrary interference: there was no requirement to assess the “necessity” of a stop and search, the test being whether the search was “expedient”; the lack of a requirement to demonstrate reasonable suspicion conferred an unacceptable breadth of discretion on the individual police officer; and the availability of judicial review or an action in damages was not an adequate safeguard, as it was likely to be difficult or impossible to prove the power was improperly exercised.</w:t>
      </w:r>
      <w:r w:rsidR="00A06D5C" w:rsidRPr="00A06D5C">
        <w:rPr>
          <w:rFonts w:asciiTheme="majorHAnsi" w:hAnsiTheme="majorHAnsi"/>
          <w:lang w:val="en-US"/>
        </w:rPr>
        <w:t xml:space="preserve"> </w:t>
      </w:r>
      <w:r w:rsidR="00A06D5C" w:rsidRPr="00A06D5C">
        <w:rPr>
          <w:rFonts w:asciiTheme="majorHAnsi" w:hAnsiTheme="majorHAnsi"/>
          <w:lang w:val="en-US"/>
        </w:rPr>
        <w:t>The public nature of a search may in some cases compound the seriousness of the interference. </w:t>
      </w:r>
    </w:p>
    <w:p w14:paraId="51833B5A" w14:textId="77777777" w:rsidR="00B36A8F" w:rsidRPr="001F2B26" w:rsidRDefault="00B36A8F" w:rsidP="00B36A8F">
      <w:pPr>
        <w:pStyle w:val="ListParagraph"/>
        <w:spacing w:after="0" w:line="240" w:lineRule="auto"/>
        <w:ind w:left="644"/>
        <w:jc w:val="both"/>
        <w:rPr>
          <w:rFonts w:asciiTheme="majorHAnsi" w:hAnsiTheme="majorHAnsi"/>
        </w:rPr>
      </w:pPr>
    </w:p>
    <w:p w14:paraId="1FE9E7BF" w14:textId="29031CC5" w:rsidR="001E1792" w:rsidRDefault="001E1792" w:rsidP="001F2B26">
      <w:pPr>
        <w:pStyle w:val="ListParagraph"/>
        <w:numPr>
          <w:ilvl w:val="0"/>
          <w:numId w:val="5"/>
        </w:numPr>
        <w:spacing w:after="0" w:line="240" w:lineRule="auto"/>
        <w:jc w:val="both"/>
        <w:rPr>
          <w:rFonts w:asciiTheme="majorHAnsi" w:hAnsiTheme="majorHAnsi"/>
        </w:rPr>
      </w:pPr>
      <w:r w:rsidRPr="001F2B26">
        <w:rPr>
          <w:rFonts w:asciiTheme="majorHAnsi" w:hAnsiTheme="majorHAnsi"/>
          <w:u w:val="single"/>
        </w:rPr>
        <w:t>2008</w:t>
      </w:r>
      <w:r w:rsidRPr="001F2B26">
        <w:rPr>
          <w:rFonts w:asciiTheme="majorHAnsi" w:hAnsiTheme="majorHAnsi"/>
        </w:rPr>
        <w:t xml:space="preserve">: </w:t>
      </w:r>
      <w:r w:rsidRPr="001F2B26">
        <w:rPr>
          <w:rFonts w:asciiTheme="majorHAnsi" w:hAnsiTheme="majorHAnsi"/>
          <w:b/>
          <w:i/>
        </w:rPr>
        <w:t xml:space="preserve">Liberty and </w:t>
      </w:r>
      <w:proofErr w:type="spellStart"/>
      <w:r w:rsidRPr="001F2B26">
        <w:rPr>
          <w:rFonts w:asciiTheme="majorHAnsi" w:hAnsiTheme="majorHAnsi"/>
          <w:b/>
          <w:i/>
        </w:rPr>
        <w:t>Ors</w:t>
      </w:r>
      <w:proofErr w:type="spellEnd"/>
      <w:r w:rsidRPr="001F2B26">
        <w:rPr>
          <w:rFonts w:asciiTheme="majorHAnsi" w:hAnsiTheme="majorHAnsi"/>
          <w:b/>
          <w:i/>
        </w:rPr>
        <w:t xml:space="preserve"> v. the United Kingdom</w:t>
      </w:r>
      <w:r w:rsidRPr="001F2B26">
        <w:rPr>
          <w:rFonts w:asciiTheme="majorHAnsi" w:hAnsiTheme="majorHAnsi"/>
          <w:b/>
        </w:rPr>
        <w:t xml:space="preserve"> (58243/00)</w:t>
      </w:r>
      <w:r w:rsidR="00A872C4" w:rsidRPr="001F2B26">
        <w:rPr>
          <w:rFonts w:asciiTheme="majorHAnsi" w:hAnsiTheme="majorHAnsi"/>
          <w:b/>
        </w:rPr>
        <w:t xml:space="preserve">, [2008] ECHR 568; </w:t>
      </w:r>
      <w:r w:rsidR="00A872C4" w:rsidRPr="001F2B26">
        <w:rPr>
          <w:rFonts w:asciiTheme="majorHAnsi" w:hAnsiTheme="majorHAnsi"/>
        </w:rPr>
        <w:t xml:space="preserve">Where the UK’s system of mass surveillance implemented to spy on telephone calls, faxes, and emails to and from Ireland was challenged by the Irish Council for Civil Liberties, Liberty, and British-Irish Rights Watch, the </w:t>
      </w:r>
      <w:proofErr w:type="spellStart"/>
      <w:r w:rsidR="00A872C4" w:rsidRPr="001F2B26">
        <w:rPr>
          <w:rFonts w:asciiTheme="majorHAnsi" w:hAnsiTheme="majorHAnsi"/>
        </w:rPr>
        <w:t>ECtHR</w:t>
      </w:r>
      <w:proofErr w:type="spellEnd"/>
      <w:r w:rsidR="00A872C4" w:rsidRPr="001F2B26">
        <w:rPr>
          <w:rFonts w:asciiTheme="majorHAnsi" w:hAnsiTheme="majorHAnsi"/>
        </w:rPr>
        <w:t xml:space="preserve"> found a breach of privacy rights under Art. 8</w:t>
      </w:r>
      <w:r w:rsidR="003D41D9" w:rsidRPr="001F2B26">
        <w:rPr>
          <w:rFonts w:asciiTheme="majorHAnsi" w:hAnsiTheme="majorHAnsi"/>
        </w:rPr>
        <w:t xml:space="preserve">, </w:t>
      </w:r>
      <w:r w:rsidR="003D41D9" w:rsidRPr="001F2B26">
        <w:rPr>
          <w:rFonts w:asciiTheme="majorHAnsi" w:hAnsiTheme="majorHAnsi"/>
        </w:rPr>
        <w:lastRenderedPageBreak/>
        <w:t xml:space="preserve">reasoning that “the Court does not consider that the domestic law at the relevant time indicated with sufficient clarity, so as to provide adequate protection against abuse of power, the scope or manner of exercise of the very wide discretion conferred on the State to intercept and examine external communications.”  </w:t>
      </w:r>
    </w:p>
    <w:p w14:paraId="1AAA1012" w14:textId="77777777" w:rsidR="00B36A8F" w:rsidRPr="00B36A8F" w:rsidRDefault="00B36A8F" w:rsidP="00B36A8F">
      <w:pPr>
        <w:pStyle w:val="ListParagraph"/>
        <w:rPr>
          <w:rFonts w:asciiTheme="majorHAnsi" w:hAnsiTheme="majorHAnsi"/>
        </w:rPr>
      </w:pPr>
    </w:p>
    <w:p w14:paraId="6B6C3D56" w14:textId="3354F60D" w:rsidR="001E1792" w:rsidRDefault="001E1792" w:rsidP="001F2B26">
      <w:pPr>
        <w:pStyle w:val="ListParagraph"/>
        <w:numPr>
          <w:ilvl w:val="0"/>
          <w:numId w:val="5"/>
        </w:numPr>
        <w:spacing w:after="0" w:line="240" w:lineRule="auto"/>
        <w:jc w:val="both"/>
        <w:rPr>
          <w:rFonts w:asciiTheme="majorHAnsi" w:hAnsiTheme="majorHAnsi"/>
        </w:rPr>
      </w:pPr>
      <w:r w:rsidRPr="001F2B26">
        <w:rPr>
          <w:rFonts w:asciiTheme="majorHAnsi" w:hAnsiTheme="majorHAnsi"/>
          <w:u w:val="single"/>
        </w:rPr>
        <w:t>2008</w:t>
      </w:r>
      <w:r w:rsidRPr="001F2B26">
        <w:rPr>
          <w:rFonts w:asciiTheme="majorHAnsi" w:hAnsiTheme="majorHAnsi"/>
        </w:rPr>
        <w:t xml:space="preserve">: </w:t>
      </w:r>
      <w:r w:rsidRPr="001F2B26">
        <w:rPr>
          <w:rFonts w:asciiTheme="majorHAnsi" w:hAnsiTheme="majorHAnsi"/>
          <w:b/>
          <w:i/>
        </w:rPr>
        <w:t xml:space="preserve">S and </w:t>
      </w:r>
      <w:proofErr w:type="spellStart"/>
      <w:r w:rsidRPr="001F2B26">
        <w:rPr>
          <w:rFonts w:asciiTheme="majorHAnsi" w:hAnsiTheme="majorHAnsi"/>
          <w:b/>
          <w:i/>
        </w:rPr>
        <w:t>Marper</w:t>
      </w:r>
      <w:proofErr w:type="spellEnd"/>
      <w:r w:rsidRPr="001F2B26">
        <w:rPr>
          <w:rFonts w:asciiTheme="majorHAnsi" w:hAnsiTheme="majorHAnsi"/>
          <w:b/>
          <w:i/>
        </w:rPr>
        <w:t xml:space="preserve"> v. the United Kingdom</w:t>
      </w:r>
      <w:r w:rsidRPr="001F2B26">
        <w:rPr>
          <w:rFonts w:asciiTheme="majorHAnsi" w:hAnsiTheme="majorHAnsi"/>
          <w:b/>
        </w:rPr>
        <w:t>, (30562/04, 30566/04), [2008] ECHR 1581</w:t>
      </w:r>
      <w:r w:rsidR="00BE298B" w:rsidRPr="001F2B26">
        <w:rPr>
          <w:rFonts w:asciiTheme="majorHAnsi" w:hAnsiTheme="majorHAnsi"/>
          <w:b/>
        </w:rPr>
        <w:t>, 25 BHRC 557</w:t>
      </w:r>
      <w:r w:rsidR="00F45F58" w:rsidRPr="001F2B26">
        <w:rPr>
          <w:rFonts w:asciiTheme="majorHAnsi" w:hAnsiTheme="majorHAnsi"/>
          <w:b/>
        </w:rPr>
        <w:t>;</w:t>
      </w:r>
      <w:r w:rsidR="00F45F58" w:rsidRPr="001F2B26">
        <w:rPr>
          <w:rFonts w:asciiTheme="majorHAnsi" w:hAnsiTheme="majorHAnsi"/>
        </w:rPr>
        <w:t xml:space="preserve"> Where fingerprints of individuals arrested were retained by authorities and req</w:t>
      </w:r>
      <w:r w:rsidR="00B36A8F">
        <w:rPr>
          <w:rFonts w:asciiTheme="majorHAnsi" w:hAnsiTheme="majorHAnsi"/>
        </w:rPr>
        <w:t>uests</w:t>
      </w:r>
      <w:r w:rsidR="00F45F58" w:rsidRPr="001F2B26">
        <w:rPr>
          <w:rFonts w:asciiTheme="majorHAnsi" w:hAnsiTheme="majorHAnsi"/>
        </w:rPr>
        <w:t xml:space="preserve"> for their destruction were denied, the individuals claim</w:t>
      </w:r>
      <w:r w:rsidR="00B36A8F">
        <w:rPr>
          <w:rFonts w:asciiTheme="majorHAnsi" w:hAnsiTheme="majorHAnsi"/>
        </w:rPr>
        <w:t>ed</w:t>
      </w:r>
      <w:r w:rsidR="00F45F58" w:rsidRPr="001F2B26">
        <w:rPr>
          <w:rFonts w:asciiTheme="majorHAnsi" w:hAnsiTheme="majorHAnsi"/>
        </w:rPr>
        <w:t xml:space="preserve"> that the retention was disproportionate because of its blanket nature. </w:t>
      </w:r>
      <w:r w:rsidR="001552CD" w:rsidRPr="001F2B26">
        <w:rPr>
          <w:rFonts w:asciiTheme="majorHAnsi" w:hAnsiTheme="majorHAnsi"/>
        </w:rPr>
        <w:t>S and M applied unsuccessfully for judicial review and their appeals to the Court of Appeal and the House of Lord</w:t>
      </w:r>
      <w:r w:rsidR="00B36A8F">
        <w:rPr>
          <w:rFonts w:asciiTheme="majorHAnsi" w:hAnsiTheme="majorHAnsi"/>
        </w:rPr>
        <w:t>s</w:t>
      </w:r>
      <w:r w:rsidR="001552CD" w:rsidRPr="001F2B26">
        <w:rPr>
          <w:rFonts w:asciiTheme="majorHAnsi" w:hAnsiTheme="majorHAnsi"/>
        </w:rPr>
        <w:t xml:space="preserve"> were dismissed</w:t>
      </w:r>
      <w:r w:rsidR="00B36A8F">
        <w:rPr>
          <w:rFonts w:asciiTheme="majorHAnsi" w:hAnsiTheme="majorHAnsi"/>
        </w:rPr>
        <w:t>.</w:t>
      </w:r>
      <w:r w:rsidR="001552CD" w:rsidRPr="001F2B26">
        <w:rPr>
          <w:rFonts w:asciiTheme="majorHAnsi" w:hAnsiTheme="majorHAnsi"/>
        </w:rPr>
        <w:t xml:space="preserve"> The </w:t>
      </w:r>
      <w:proofErr w:type="spellStart"/>
      <w:r w:rsidR="001552CD" w:rsidRPr="001F2B26">
        <w:rPr>
          <w:rFonts w:asciiTheme="majorHAnsi" w:hAnsiTheme="majorHAnsi"/>
        </w:rPr>
        <w:t>ECtHR</w:t>
      </w:r>
      <w:proofErr w:type="spellEnd"/>
      <w:r w:rsidR="001552CD" w:rsidRPr="001F2B26">
        <w:rPr>
          <w:rFonts w:asciiTheme="majorHAnsi" w:hAnsiTheme="majorHAnsi"/>
        </w:rPr>
        <w:t xml:space="preserve"> found a violation of Art. 8 </w:t>
      </w:r>
      <w:r w:rsidR="00142735" w:rsidRPr="001F2B26">
        <w:rPr>
          <w:rFonts w:asciiTheme="majorHAnsi" w:hAnsiTheme="majorHAnsi"/>
        </w:rPr>
        <w:t>since the blanket and indiscriminate nature of the powers of retention of fingerprint and DNA material of a suspect</w:t>
      </w:r>
      <w:r w:rsidR="00B36A8F">
        <w:rPr>
          <w:rFonts w:asciiTheme="majorHAnsi" w:hAnsiTheme="majorHAnsi"/>
        </w:rPr>
        <w:t>ed</w:t>
      </w:r>
      <w:r w:rsidR="00142735" w:rsidRPr="001F2B26">
        <w:rPr>
          <w:rFonts w:asciiTheme="majorHAnsi" w:hAnsiTheme="majorHAnsi"/>
        </w:rPr>
        <w:t xml:space="preserve"> (but not convicted) </w:t>
      </w:r>
      <w:r w:rsidR="00B36A8F">
        <w:rPr>
          <w:rFonts w:asciiTheme="majorHAnsi" w:hAnsiTheme="majorHAnsi"/>
        </w:rPr>
        <w:t>person</w:t>
      </w:r>
      <w:r w:rsidR="00142735" w:rsidRPr="001F2B26">
        <w:rPr>
          <w:rFonts w:asciiTheme="majorHAnsi" w:hAnsiTheme="majorHAnsi"/>
        </w:rPr>
        <w:t xml:space="preserve"> was </w:t>
      </w:r>
      <w:r w:rsidR="00B36A8F">
        <w:rPr>
          <w:rFonts w:asciiTheme="majorHAnsi" w:hAnsiTheme="majorHAnsi"/>
        </w:rPr>
        <w:t xml:space="preserve">a </w:t>
      </w:r>
      <w:r w:rsidR="00142735" w:rsidRPr="001F2B26">
        <w:rPr>
          <w:rFonts w:asciiTheme="majorHAnsi" w:hAnsiTheme="majorHAnsi"/>
        </w:rPr>
        <w:t>disproportionate interference</w:t>
      </w:r>
      <w:r w:rsidR="00B36A8F">
        <w:rPr>
          <w:rFonts w:asciiTheme="majorHAnsi" w:hAnsiTheme="majorHAnsi"/>
        </w:rPr>
        <w:t xml:space="preserve"> with the right to private life, </w:t>
      </w:r>
      <w:r w:rsidR="00142735" w:rsidRPr="001F2B26">
        <w:rPr>
          <w:rFonts w:asciiTheme="majorHAnsi" w:hAnsiTheme="majorHAnsi"/>
        </w:rPr>
        <w:t xml:space="preserve">not necessary in a democratic society. </w:t>
      </w:r>
    </w:p>
    <w:p w14:paraId="642EC8EB" w14:textId="77777777" w:rsidR="00B36A8F" w:rsidRPr="00B36A8F" w:rsidRDefault="00B36A8F" w:rsidP="00B36A8F">
      <w:pPr>
        <w:pStyle w:val="ListParagraph"/>
        <w:rPr>
          <w:rFonts w:asciiTheme="majorHAnsi" w:hAnsiTheme="majorHAnsi"/>
        </w:rPr>
      </w:pPr>
    </w:p>
    <w:p w14:paraId="6A221447" w14:textId="44195097" w:rsidR="00E63E39" w:rsidRDefault="00E63E39" w:rsidP="001F2B26">
      <w:pPr>
        <w:pStyle w:val="ListParagraph"/>
        <w:numPr>
          <w:ilvl w:val="0"/>
          <w:numId w:val="5"/>
        </w:numPr>
        <w:spacing w:after="0" w:line="240" w:lineRule="auto"/>
        <w:jc w:val="both"/>
        <w:rPr>
          <w:rFonts w:asciiTheme="majorHAnsi" w:hAnsiTheme="majorHAnsi"/>
        </w:rPr>
      </w:pPr>
      <w:r w:rsidRPr="001F2B26">
        <w:rPr>
          <w:rFonts w:asciiTheme="majorHAnsi" w:hAnsiTheme="majorHAnsi"/>
          <w:u w:val="single"/>
        </w:rPr>
        <w:t>2000</w:t>
      </w:r>
      <w:r w:rsidRPr="001F2B26">
        <w:rPr>
          <w:rFonts w:asciiTheme="majorHAnsi" w:hAnsiTheme="majorHAnsi"/>
        </w:rPr>
        <w:t xml:space="preserve">: </w:t>
      </w:r>
      <w:r w:rsidRPr="001F2B26">
        <w:rPr>
          <w:rFonts w:asciiTheme="majorHAnsi" w:hAnsiTheme="majorHAnsi"/>
          <w:b/>
          <w:i/>
        </w:rPr>
        <w:t xml:space="preserve">ADT v. United Kingdom </w:t>
      </w:r>
      <w:r w:rsidRPr="001F2B26">
        <w:rPr>
          <w:rFonts w:asciiTheme="majorHAnsi" w:hAnsiTheme="majorHAnsi"/>
          <w:b/>
        </w:rPr>
        <w:t xml:space="preserve">(35765/97), (2001) 31 E.H.R.R. 33; [2000] 2 F.L.R. 697; </w:t>
      </w:r>
      <w:r w:rsidRPr="001F2B26">
        <w:rPr>
          <w:rFonts w:asciiTheme="majorHAnsi" w:hAnsiTheme="majorHAnsi"/>
        </w:rPr>
        <w:t xml:space="preserve">Where a homosexual man complained to the </w:t>
      </w:r>
      <w:proofErr w:type="spellStart"/>
      <w:r w:rsidRPr="001F2B26">
        <w:rPr>
          <w:rFonts w:asciiTheme="majorHAnsi" w:hAnsiTheme="majorHAnsi"/>
        </w:rPr>
        <w:t>ECtHR</w:t>
      </w:r>
      <w:proofErr w:type="spellEnd"/>
      <w:r w:rsidRPr="001F2B26">
        <w:rPr>
          <w:rFonts w:asciiTheme="majorHAnsi" w:hAnsiTheme="majorHAnsi"/>
        </w:rPr>
        <w:t xml:space="preserve"> that his conviction </w:t>
      </w:r>
      <w:r w:rsidR="00DD7BF8" w:rsidRPr="001F2B26">
        <w:rPr>
          <w:rFonts w:asciiTheme="majorHAnsi" w:hAnsiTheme="majorHAnsi"/>
        </w:rPr>
        <w:t>of</w:t>
      </w:r>
      <w:r w:rsidRPr="001F2B26">
        <w:rPr>
          <w:rFonts w:asciiTheme="majorHAnsi" w:hAnsiTheme="majorHAnsi"/>
        </w:rPr>
        <w:t xml:space="preserve"> </w:t>
      </w:r>
      <w:r w:rsidR="00DD7BF8" w:rsidRPr="001F2B26">
        <w:rPr>
          <w:rFonts w:asciiTheme="majorHAnsi" w:hAnsiTheme="majorHAnsi"/>
        </w:rPr>
        <w:t>‘</w:t>
      </w:r>
      <w:r w:rsidRPr="001F2B26">
        <w:rPr>
          <w:rFonts w:asciiTheme="majorHAnsi" w:hAnsiTheme="majorHAnsi"/>
        </w:rPr>
        <w:t>gross indecency</w:t>
      </w:r>
      <w:r w:rsidR="00DD7BF8" w:rsidRPr="001F2B26">
        <w:rPr>
          <w:rFonts w:asciiTheme="majorHAnsi" w:hAnsiTheme="majorHAnsi"/>
        </w:rPr>
        <w:t>’</w:t>
      </w:r>
      <w:r w:rsidRPr="001F2B26">
        <w:rPr>
          <w:rFonts w:asciiTheme="majorHAnsi" w:hAnsiTheme="majorHAnsi"/>
        </w:rPr>
        <w:t xml:space="preserve"> under the Sexual Offences Act 1956 s.13 relating to consensual, non-violent sexual acts</w:t>
      </w:r>
      <w:r w:rsidR="00DD7BF8" w:rsidRPr="001F2B26">
        <w:rPr>
          <w:rFonts w:asciiTheme="majorHAnsi" w:hAnsiTheme="majorHAnsi"/>
        </w:rPr>
        <w:t xml:space="preserve"> with four other men, which was depicted in a videotape seized from his home, </w:t>
      </w:r>
      <w:r w:rsidRPr="001F2B26">
        <w:rPr>
          <w:rFonts w:asciiTheme="majorHAnsi" w:hAnsiTheme="majorHAnsi"/>
        </w:rPr>
        <w:t xml:space="preserve">infringed Art.8, the Court </w:t>
      </w:r>
      <w:r w:rsidR="00DD7BF8" w:rsidRPr="001F2B26">
        <w:rPr>
          <w:rFonts w:asciiTheme="majorHAnsi" w:hAnsiTheme="majorHAnsi"/>
        </w:rPr>
        <w:t xml:space="preserve">had </w:t>
      </w:r>
      <w:r w:rsidRPr="001F2B26">
        <w:rPr>
          <w:rFonts w:asciiTheme="majorHAnsi" w:hAnsiTheme="majorHAnsi"/>
        </w:rPr>
        <w:t>found a violation since the law imposed an unnecessary restriction on private life in a democratic society (although state interferences could be justified in certain circumstances to protect morals or health)</w:t>
      </w:r>
      <w:r w:rsidR="00CF6BC9">
        <w:rPr>
          <w:rFonts w:asciiTheme="majorHAnsi" w:hAnsiTheme="majorHAnsi"/>
        </w:rPr>
        <w:t>.</w:t>
      </w:r>
    </w:p>
    <w:p w14:paraId="4AAFEA66" w14:textId="77777777" w:rsidR="000F1A9E" w:rsidRPr="000F1A9E" w:rsidRDefault="000F1A9E" w:rsidP="000F1A9E">
      <w:pPr>
        <w:pStyle w:val="ListParagraph"/>
        <w:rPr>
          <w:rFonts w:asciiTheme="majorHAnsi" w:hAnsiTheme="majorHAnsi"/>
        </w:rPr>
      </w:pPr>
    </w:p>
    <w:p w14:paraId="56670ECE" w14:textId="77777777" w:rsidR="000F1A9E" w:rsidRDefault="000F1A9E" w:rsidP="000F1A9E">
      <w:pPr>
        <w:pStyle w:val="ListParagraph"/>
        <w:spacing w:after="0" w:line="240" w:lineRule="auto"/>
        <w:ind w:left="644"/>
        <w:jc w:val="right"/>
        <w:rPr>
          <w:rFonts w:asciiTheme="majorHAnsi" w:hAnsiTheme="majorHAnsi"/>
        </w:rPr>
      </w:pPr>
    </w:p>
    <w:p w14:paraId="6EC98049" w14:textId="34D5C0BF" w:rsidR="000F1A9E" w:rsidRDefault="000F1A9E" w:rsidP="000F1A9E">
      <w:pPr>
        <w:pStyle w:val="ListParagraph"/>
        <w:spacing w:after="0" w:line="240" w:lineRule="auto"/>
        <w:ind w:left="644"/>
        <w:jc w:val="right"/>
        <w:rPr>
          <w:rFonts w:asciiTheme="majorHAnsi" w:hAnsiTheme="majorHAnsi"/>
        </w:rPr>
      </w:pPr>
      <w:r w:rsidRPr="000F1A9E">
        <w:rPr>
          <w:rFonts w:asciiTheme="majorHAnsi" w:hAnsiTheme="majorHAnsi"/>
        </w:rPr>
        <w:t>Jodie Blackstock</w:t>
      </w:r>
      <w:r>
        <w:rPr>
          <w:rFonts w:asciiTheme="majorHAnsi" w:hAnsiTheme="majorHAnsi"/>
        </w:rPr>
        <w:t>, Director of Criminal Justice</w:t>
      </w:r>
    </w:p>
    <w:p w14:paraId="69DBEB10" w14:textId="745E9350" w:rsidR="000F1A9E" w:rsidRDefault="000F1A9E" w:rsidP="000F1A9E">
      <w:pPr>
        <w:pStyle w:val="ListParagraph"/>
        <w:spacing w:after="0" w:line="240" w:lineRule="auto"/>
        <w:ind w:left="644"/>
        <w:jc w:val="right"/>
        <w:rPr>
          <w:rFonts w:asciiTheme="majorHAnsi" w:hAnsiTheme="majorHAnsi"/>
        </w:rPr>
      </w:pPr>
      <w:r>
        <w:rPr>
          <w:rFonts w:asciiTheme="majorHAnsi" w:hAnsiTheme="majorHAnsi"/>
        </w:rPr>
        <w:t>Zo</w:t>
      </w:r>
      <w:r w:rsidRPr="000F1A9E">
        <w:rPr>
          <w:rFonts w:asciiTheme="majorHAnsi" w:hAnsiTheme="majorHAnsi" w:cs="Arial"/>
        </w:rPr>
        <w:t>ë</w:t>
      </w:r>
      <w:r>
        <w:rPr>
          <w:rFonts w:asciiTheme="majorHAnsi" w:hAnsiTheme="majorHAnsi"/>
        </w:rPr>
        <w:t xml:space="preserve"> Chapman, </w:t>
      </w:r>
      <w:r w:rsidR="00BC34B2">
        <w:rPr>
          <w:rFonts w:asciiTheme="majorHAnsi" w:hAnsiTheme="majorHAnsi"/>
        </w:rPr>
        <w:t>JUSTICE F</w:t>
      </w:r>
      <w:r>
        <w:rPr>
          <w:rFonts w:asciiTheme="majorHAnsi" w:hAnsiTheme="majorHAnsi"/>
        </w:rPr>
        <w:t>ellow</w:t>
      </w:r>
    </w:p>
    <w:p w14:paraId="6B46684F" w14:textId="732E53AE" w:rsidR="00BC34B2" w:rsidRDefault="00BC34B2" w:rsidP="000F1A9E">
      <w:pPr>
        <w:pStyle w:val="ListParagraph"/>
        <w:spacing w:after="0" w:line="240" w:lineRule="auto"/>
        <w:ind w:left="644"/>
        <w:jc w:val="right"/>
        <w:rPr>
          <w:rFonts w:asciiTheme="majorHAnsi" w:hAnsiTheme="majorHAnsi"/>
        </w:rPr>
      </w:pPr>
      <w:r>
        <w:rPr>
          <w:rFonts w:asciiTheme="majorHAnsi" w:hAnsiTheme="majorHAnsi"/>
        </w:rPr>
        <w:t>Bader Abu-Eid, Intern</w:t>
      </w:r>
    </w:p>
    <w:p w14:paraId="531F4F34" w14:textId="54A7279A" w:rsidR="00BC34B2" w:rsidRDefault="00BC34B2" w:rsidP="000F1A9E">
      <w:pPr>
        <w:pStyle w:val="ListParagraph"/>
        <w:spacing w:after="0" w:line="240" w:lineRule="auto"/>
        <w:ind w:left="644"/>
        <w:jc w:val="right"/>
        <w:rPr>
          <w:rFonts w:asciiTheme="majorHAnsi" w:hAnsiTheme="majorHAnsi"/>
        </w:rPr>
      </w:pPr>
      <w:r>
        <w:rPr>
          <w:rFonts w:asciiTheme="majorHAnsi" w:hAnsiTheme="majorHAnsi"/>
        </w:rPr>
        <w:t>10</w:t>
      </w:r>
      <w:r w:rsidRPr="00BC34B2">
        <w:rPr>
          <w:rFonts w:asciiTheme="majorHAnsi" w:hAnsiTheme="majorHAnsi"/>
          <w:vertAlign w:val="superscript"/>
        </w:rPr>
        <w:t>th</w:t>
      </w:r>
      <w:r>
        <w:rPr>
          <w:rFonts w:asciiTheme="majorHAnsi" w:hAnsiTheme="majorHAnsi"/>
        </w:rPr>
        <w:t xml:space="preserve"> March 2016</w:t>
      </w:r>
      <w:bookmarkStart w:id="0" w:name="_GoBack"/>
      <w:bookmarkEnd w:id="0"/>
    </w:p>
    <w:p w14:paraId="7A323D17" w14:textId="77777777" w:rsidR="00BC34B2" w:rsidRDefault="00BC34B2" w:rsidP="000F1A9E">
      <w:pPr>
        <w:pStyle w:val="ListParagraph"/>
        <w:spacing w:after="0" w:line="240" w:lineRule="auto"/>
        <w:ind w:left="644"/>
        <w:jc w:val="right"/>
        <w:rPr>
          <w:rFonts w:asciiTheme="majorHAnsi" w:hAnsiTheme="majorHAnsi"/>
        </w:rPr>
      </w:pPr>
    </w:p>
    <w:p w14:paraId="146BE177" w14:textId="77777777" w:rsidR="000F1A9E" w:rsidRDefault="000F1A9E" w:rsidP="000F1A9E">
      <w:pPr>
        <w:pStyle w:val="ListParagraph"/>
        <w:spacing w:after="0" w:line="240" w:lineRule="auto"/>
        <w:ind w:left="644"/>
        <w:jc w:val="right"/>
        <w:rPr>
          <w:rFonts w:asciiTheme="majorHAnsi" w:hAnsiTheme="majorHAnsi"/>
        </w:rPr>
      </w:pPr>
    </w:p>
    <w:p w14:paraId="1A3599C2" w14:textId="77777777" w:rsidR="00CF6BC9" w:rsidRPr="00CF6BC9" w:rsidRDefault="00CF6BC9" w:rsidP="00CF6BC9">
      <w:pPr>
        <w:pStyle w:val="ListParagraph"/>
        <w:rPr>
          <w:rFonts w:asciiTheme="majorHAnsi" w:hAnsiTheme="majorHAnsi"/>
        </w:rPr>
      </w:pPr>
    </w:p>
    <w:p w14:paraId="11A2FC82" w14:textId="77777777" w:rsidR="00CF6BC9" w:rsidRDefault="00CF6BC9" w:rsidP="00CF6BC9">
      <w:pPr>
        <w:spacing w:after="0" w:line="240" w:lineRule="auto"/>
        <w:jc w:val="both"/>
        <w:rPr>
          <w:rFonts w:asciiTheme="majorHAnsi" w:hAnsiTheme="majorHAnsi"/>
        </w:rPr>
      </w:pPr>
    </w:p>
    <w:p w14:paraId="5B73167C" w14:textId="70B59A45" w:rsidR="003434B6" w:rsidRPr="001F2B26" w:rsidRDefault="003434B6" w:rsidP="00CF6BC9">
      <w:pPr>
        <w:spacing w:after="0" w:line="240" w:lineRule="auto"/>
        <w:jc w:val="both"/>
        <w:rPr>
          <w:rFonts w:asciiTheme="majorHAnsi" w:hAnsiTheme="majorHAnsi"/>
        </w:rPr>
      </w:pPr>
    </w:p>
    <w:sectPr w:rsidR="003434B6" w:rsidRPr="001F2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CE4"/>
    <w:multiLevelType w:val="hybridMultilevel"/>
    <w:tmpl w:val="3430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93468"/>
    <w:multiLevelType w:val="hybridMultilevel"/>
    <w:tmpl w:val="70725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364880"/>
    <w:multiLevelType w:val="hybridMultilevel"/>
    <w:tmpl w:val="453C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2232D"/>
    <w:multiLevelType w:val="hybridMultilevel"/>
    <w:tmpl w:val="7948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384567"/>
    <w:multiLevelType w:val="hybridMultilevel"/>
    <w:tmpl w:val="4822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51753"/>
    <w:multiLevelType w:val="hybridMultilevel"/>
    <w:tmpl w:val="EF30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86363B"/>
    <w:multiLevelType w:val="hybridMultilevel"/>
    <w:tmpl w:val="8D12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F011C3"/>
    <w:multiLevelType w:val="hybridMultilevel"/>
    <w:tmpl w:val="4A5E7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9C063F"/>
    <w:multiLevelType w:val="hybridMultilevel"/>
    <w:tmpl w:val="D7AEE53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AA5615"/>
    <w:multiLevelType w:val="hybridMultilevel"/>
    <w:tmpl w:val="F616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3B3B02"/>
    <w:multiLevelType w:val="hybridMultilevel"/>
    <w:tmpl w:val="EBAA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B93CE8"/>
    <w:multiLevelType w:val="hybridMultilevel"/>
    <w:tmpl w:val="9D30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4F479D"/>
    <w:multiLevelType w:val="hybridMultilevel"/>
    <w:tmpl w:val="8FF0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371E48"/>
    <w:multiLevelType w:val="hybridMultilevel"/>
    <w:tmpl w:val="2974B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E93658"/>
    <w:multiLevelType w:val="hybridMultilevel"/>
    <w:tmpl w:val="200C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337FAD"/>
    <w:multiLevelType w:val="hybridMultilevel"/>
    <w:tmpl w:val="D96A3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846278"/>
    <w:multiLevelType w:val="hybridMultilevel"/>
    <w:tmpl w:val="47748A7E"/>
    <w:lvl w:ilvl="0" w:tplc="7CE28964">
      <w:start w:val="5"/>
      <w:numFmt w:val="bullet"/>
      <w:lvlText w:val=""/>
      <w:lvlJc w:val="left"/>
      <w:pPr>
        <w:ind w:left="720" w:hanging="360"/>
      </w:pPr>
      <w:rPr>
        <w:rFonts w:ascii="Symbol" w:eastAsiaTheme="minorHAnsi"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AC4C4A"/>
    <w:multiLevelType w:val="hybridMultilevel"/>
    <w:tmpl w:val="6606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791ACD"/>
    <w:multiLevelType w:val="hybridMultilevel"/>
    <w:tmpl w:val="B65C9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
  </w:num>
  <w:num w:numId="4">
    <w:abstractNumId w:val="11"/>
  </w:num>
  <w:num w:numId="5">
    <w:abstractNumId w:val="8"/>
  </w:num>
  <w:num w:numId="6">
    <w:abstractNumId w:val="3"/>
  </w:num>
  <w:num w:numId="7">
    <w:abstractNumId w:val="0"/>
  </w:num>
  <w:num w:numId="8">
    <w:abstractNumId w:val="17"/>
  </w:num>
  <w:num w:numId="9">
    <w:abstractNumId w:val="7"/>
  </w:num>
  <w:num w:numId="10">
    <w:abstractNumId w:val="18"/>
  </w:num>
  <w:num w:numId="11">
    <w:abstractNumId w:val="15"/>
  </w:num>
  <w:num w:numId="12">
    <w:abstractNumId w:val="6"/>
  </w:num>
  <w:num w:numId="13">
    <w:abstractNumId w:val="4"/>
  </w:num>
  <w:num w:numId="14">
    <w:abstractNumId w:val="9"/>
  </w:num>
  <w:num w:numId="15">
    <w:abstractNumId w:val="5"/>
  </w:num>
  <w:num w:numId="16">
    <w:abstractNumId w:val="12"/>
  </w:num>
  <w:num w:numId="17">
    <w:abstractNumId w:val="10"/>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B0"/>
    <w:rsid w:val="00030088"/>
    <w:rsid w:val="000320D9"/>
    <w:rsid w:val="00036668"/>
    <w:rsid w:val="00041E8C"/>
    <w:rsid w:val="0004295A"/>
    <w:rsid w:val="00084EE7"/>
    <w:rsid w:val="00093C24"/>
    <w:rsid w:val="000F1A9E"/>
    <w:rsid w:val="000F5891"/>
    <w:rsid w:val="00107020"/>
    <w:rsid w:val="00107E51"/>
    <w:rsid w:val="00142735"/>
    <w:rsid w:val="001552CD"/>
    <w:rsid w:val="0016320A"/>
    <w:rsid w:val="00173EDB"/>
    <w:rsid w:val="001819C8"/>
    <w:rsid w:val="001C053D"/>
    <w:rsid w:val="001D28E6"/>
    <w:rsid w:val="001E08D7"/>
    <w:rsid w:val="001E1792"/>
    <w:rsid w:val="001E3A67"/>
    <w:rsid w:val="001F12E8"/>
    <w:rsid w:val="001F2B26"/>
    <w:rsid w:val="00206B9E"/>
    <w:rsid w:val="002168F7"/>
    <w:rsid w:val="002425ED"/>
    <w:rsid w:val="00255869"/>
    <w:rsid w:val="00267709"/>
    <w:rsid w:val="00275F55"/>
    <w:rsid w:val="002B3CE8"/>
    <w:rsid w:val="002B57FD"/>
    <w:rsid w:val="002B7438"/>
    <w:rsid w:val="002E36FE"/>
    <w:rsid w:val="00315295"/>
    <w:rsid w:val="003168D6"/>
    <w:rsid w:val="003230EB"/>
    <w:rsid w:val="003333AF"/>
    <w:rsid w:val="003434B6"/>
    <w:rsid w:val="00350E45"/>
    <w:rsid w:val="00361C50"/>
    <w:rsid w:val="0037479D"/>
    <w:rsid w:val="003A06DB"/>
    <w:rsid w:val="003A6AC1"/>
    <w:rsid w:val="003B0875"/>
    <w:rsid w:val="003B18DF"/>
    <w:rsid w:val="003B486E"/>
    <w:rsid w:val="003C010F"/>
    <w:rsid w:val="003C1267"/>
    <w:rsid w:val="003D41D9"/>
    <w:rsid w:val="003E6F82"/>
    <w:rsid w:val="003E7B2B"/>
    <w:rsid w:val="004018D9"/>
    <w:rsid w:val="00403986"/>
    <w:rsid w:val="00425B0E"/>
    <w:rsid w:val="0043558C"/>
    <w:rsid w:val="00444933"/>
    <w:rsid w:val="004513F1"/>
    <w:rsid w:val="004668B6"/>
    <w:rsid w:val="00481B6B"/>
    <w:rsid w:val="00486179"/>
    <w:rsid w:val="0049187D"/>
    <w:rsid w:val="00496CAF"/>
    <w:rsid w:val="00532AC8"/>
    <w:rsid w:val="00593D60"/>
    <w:rsid w:val="005B7716"/>
    <w:rsid w:val="005F4C5F"/>
    <w:rsid w:val="005F7444"/>
    <w:rsid w:val="006265B0"/>
    <w:rsid w:val="00637C20"/>
    <w:rsid w:val="006646F4"/>
    <w:rsid w:val="006919A4"/>
    <w:rsid w:val="00694E43"/>
    <w:rsid w:val="006A742B"/>
    <w:rsid w:val="006D1081"/>
    <w:rsid w:val="006E2395"/>
    <w:rsid w:val="006E7A87"/>
    <w:rsid w:val="00701757"/>
    <w:rsid w:val="007173DB"/>
    <w:rsid w:val="00722897"/>
    <w:rsid w:val="007334F1"/>
    <w:rsid w:val="007361CC"/>
    <w:rsid w:val="00743A15"/>
    <w:rsid w:val="00754B79"/>
    <w:rsid w:val="00764861"/>
    <w:rsid w:val="007758C1"/>
    <w:rsid w:val="00790D36"/>
    <w:rsid w:val="0079409C"/>
    <w:rsid w:val="007974D6"/>
    <w:rsid w:val="007B75F2"/>
    <w:rsid w:val="00803D93"/>
    <w:rsid w:val="00824116"/>
    <w:rsid w:val="008519B6"/>
    <w:rsid w:val="008539B8"/>
    <w:rsid w:val="008640F4"/>
    <w:rsid w:val="008719CB"/>
    <w:rsid w:val="008A3021"/>
    <w:rsid w:val="008C3498"/>
    <w:rsid w:val="008F1945"/>
    <w:rsid w:val="008F68E2"/>
    <w:rsid w:val="00901831"/>
    <w:rsid w:val="009644DF"/>
    <w:rsid w:val="00964F55"/>
    <w:rsid w:val="00966599"/>
    <w:rsid w:val="009679C3"/>
    <w:rsid w:val="00985EA6"/>
    <w:rsid w:val="00997403"/>
    <w:rsid w:val="009A18B5"/>
    <w:rsid w:val="009A685C"/>
    <w:rsid w:val="009C22E6"/>
    <w:rsid w:val="009C3B3C"/>
    <w:rsid w:val="009D4297"/>
    <w:rsid w:val="00A06D5C"/>
    <w:rsid w:val="00A123AF"/>
    <w:rsid w:val="00A32EC7"/>
    <w:rsid w:val="00A332EA"/>
    <w:rsid w:val="00A451CB"/>
    <w:rsid w:val="00A45D07"/>
    <w:rsid w:val="00A538C5"/>
    <w:rsid w:val="00A872C4"/>
    <w:rsid w:val="00A95F8F"/>
    <w:rsid w:val="00A9768D"/>
    <w:rsid w:val="00AA3E97"/>
    <w:rsid w:val="00AB2F02"/>
    <w:rsid w:val="00B00EC5"/>
    <w:rsid w:val="00B233D0"/>
    <w:rsid w:val="00B32F99"/>
    <w:rsid w:val="00B36A8F"/>
    <w:rsid w:val="00B4011D"/>
    <w:rsid w:val="00B7565C"/>
    <w:rsid w:val="00B82FEB"/>
    <w:rsid w:val="00B87089"/>
    <w:rsid w:val="00BB4928"/>
    <w:rsid w:val="00BC0011"/>
    <w:rsid w:val="00BC34B2"/>
    <w:rsid w:val="00BE0248"/>
    <w:rsid w:val="00BE298B"/>
    <w:rsid w:val="00C33403"/>
    <w:rsid w:val="00C34750"/>
    <w:rsid w:val="00C668A8"/>
    <w:rsid w:val="00C8506A"/>
    <w:rsid w:val="00C873AC"/>
    <w:rsid w:val="00C9699B"/>
    <w:rsid w:val="00CA6A25"/>
    <w:rsid w:val="00CB6653"/>
    <w:rsid w:val="00CD0401"/>
    <w:rsid w:val="00CF0D2A"/>
    <w:rsid w:val="00CF0F4D"/>
    <w:rsid w:val="00CF6BC9"/>
    <w:rsid w:val="00D104FE"/>
    <w:rsid w:val="00D22FBA"/>
    <w:rsid w:val="00D26671"/>
    <w:rsid w:val="00D40539"/>
    <w:rsid w:val="00D44717"/>
    <w:rsid w:val="00D74D6F"/>
    <w:rsid w:val="00D83690"/>
    <w:rsid w:val="00D87D4E"/>
    <w:rsid w:val="00DB4E7E"/>
    <w:rsid w:val="00DD00F2"/>
    <w:rsid w:val="00DD7BF8"/>
    <w:rsid w:val="00DE6500"/>
    <w:rsid w:val="00E12421"/>
    <w:rsid w:val="00E12554"/>
    <w:rsid w:val="00E23591"/>
    <w:rsid w:val="00E23FCB"/>
    <w:rsid w:val="00E605A4"/>
    <w:rsid w:val="00E62786"/>
    <w:rsid w:val="00E63E39"/>
    <w:rsid w:val="00E73729"/>
    <w:rsid w:val="00E74DB4"/>
    <w:rsid w:val="00E96D7A"/>
    <w:rsid w:val="00E97701"/>
    <w:rsid w:val="00EB58C5"/>
    <w:rsid w:val="00EC1A9F"/>
    <w:rsid w:val="00EC2120"/>
    <w:rsid w:val="00EC41AE"/>
    <w:rsid w:val="00ED4884"/>
    <w:rsid w:val="00ED5283"/>
    <w:rsid w:val="00EE55CA"/>
    <w:rsid w:val="00EF152E"/>
    <w:rsid w:val="00EF4D76"/>
    <w:rsid w:val="00F24F4E"/>
    <w:rsid w:val="00F45F58"/>
    <w:rsid w:val="00F718AA"/>
    <w:rsid w:val="00F75E98"/>
    <w:rsid w:val="00F76169"/>
    <w:rsid w:val="00FA741E"/>
    <w:rsid w:val="00FB5547"/>
    <w:rsid w:val="00FB63D1"/>
    <w:rsid w:val="00FC5CDA"/>
    <w:rsid w:val="00FD73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8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D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Utilize Customer</Company>
  <LinksUpToDate>false</LinksUpToDate>
  <CharactersWithSpaces>22143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Bader Abu-Eid</dc:creator>
  <cp:lastModifiedBy>Jodie Blackstock</cp:lastModifiedBy>
  <cp:revision>4</cp:revision>
  <dcterms:created xsi:type="dcterms:W3CDTF">2016-03-10T18:10:00Z</dcterms:created>
  <dcterms:modified xsi:type="dcterms:W3CDTF">2016-03-10T18:20:00Z</dcterms:modified>
</cp:coreProperties>
</file>